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(oznaczenie pracodawcy: nazwa, adres, NIP, REGON)</w:t>
      </w:r>
    </w:p>
    <w:p>
      <w:pPr>
        <w:spacing w:after="200"/>
        <w:jc w:val="center"/>
      </w:pPr>
      <w:r>
        <w:rPr>
          <w:rFonts w:ascii="Calibri" w:cs="Calibri" w:eastAsia="Calibri" w:hAnsi="Calibri"/>
          <w:b/>
          <w:bCs/>
          <w:color w:val="0F172A"/>
          <w:sz w:val="30"/>
          <w:szCs w:val="30"/>
        </w:rPr>
        <w:t xml:space="preserve">REJESTR PRACOWNIKÓW</w:t>
      </w:r>
    </w:p>
    <w:p>
      <w:pPr>
        <w:spacing w:after="260"/>
        <w:jc w:val="center"/>
      </w:pPr>
      <w:r>
        <w:rPr>
          <w:rFonts w:ascii="Calibri" w:cs="Calibri" w:eastAsia="Calibri" w:hAnsi="Calibri"/>
          <w:i/>
          <w:iCs/>
          <w:color w:val="595959"/>
          <w:sz w:val="20"/>
          <w:szCs w:val="20"/>
        </w:rPr>
        <w:t xml:space="preserve">narażonych na działanie szkodliwych czynników biologicznych zakwalifikowanych do grupy 3 lub 4 zagrożenia</w:t>
      </w:r>
    </w:p>
    <w:p>
      <w:pPr>
        <w:spacing w:after="160"/>
      </w:pPr>
      <w:r>
        <w:rPr>
          <w:rFonts w:ascii="Calibri" w:cs="Calibri" w:eastAsia="Calibri" w:hAnsi="Calibri"/>
          <w:color w:val="1F2937"/>
          <w:sz w:val="21"/>
          <w:szCs w:val="21"/>
        </w:rPr>
        <w:t xml:space="preserve">Data założenia rejestru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Rejestr prowadzony w formie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(w formie elektronicznej albo księgi rejestrowej)</w:t>
      </w:r>
    </w:p>
    <w:p>
      <w:pPr>
        <w:spacing w:after="120" w:before="260"/>
      </w:pPr>
      <w:r>
        <w:rPr>
          <w:rFonts w:ascii="Calibri" w:cs="Calibri" w:eastAsia="Calibri" w:hAnsi="Calibri"/>
          <w:b/>
          <w:bCs/>
          <w:color w:val="0F172A"/>
          <w:sz w:val="24"/>
          <w:szCs w:val="24"/>
        </w:rPr>
        <w:t xml:space="preserve">Karta pracownika</w:t>
      </w:r>
    </w:p>
    <w:p>
      <w:pPr>
        <w:spacing w:after="160"/>
      </w:pPr>
      <w:r>
        <w:rPr>
          <w:rFonts w:ascii="Calibri" w:cs="Calibri" w:eastAsia="Calibri" w:hAnsi="Calibri"/>
          <w:color w:val="1F2937"/>
          <w:sz w:val="21"/>
          <w:szCs w:val="21"/>
        </w:rPr>
        <w:t xml:space="preserve">Imię i nazwisko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Stanowisko i komórka organizacyjna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Data rozpoczęcia pracy w narażeniu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Data ustania narażenia </w:t>
      </w:r>
      <w:r>
        <w:rPr>
          <w:rFonts w:ascii="Calibri" w:cs="Calibri" w:eastAsia="Calibri" w:hAnsi="Calibri"/>
          <w:color w:val="595959"/>
          <w:sz w:val="21"/>
          <w:szCs w:val="21"/>
        </w:rPr>
        <w:t xml:space="preserve">........................................</w:t>
      </w:r>
    </w:p>
    <w:p>
      <w:pPr>
        <w:spacing w:after="100" w:before="180"/>
      </w:pPr>
      <w:r>
        <w:rPr>
          <w:rFonts w:ascii="Calibri" w:cs="Calibri" w:eastAsia="Calibri" w:hAnsi="Calibri"/>
          <w:b/>
          <w:bCs/>
          <w:color w:val="0F172A"/>
          <w:sz w:val="21"/>
          <w:szCs w:val="21"/>
        </w:rPr>
        <w:t xml:space="preserve">1. Rodzaj wykonywanej pracy</w:t>
      </w:r>
    </w:p>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 7 pkt 14 lit. a rozporządzenia Ministra Zdrowia z 22 kwietnia 2005 r. w sprawie szkodliwych czynników biologicznych dla zdrowia w środowisku pracy oraz ochrony zdrowia pracowników zawodowo narażonych na te czynniki (Dz. U. z 2026 r. poz. 103)</w:t>
      </w:r>
    </w:p>
    <w:p>
      <w:pPr>
        <w:spacing w:after="100" w:before="180"/>
      </w:pPr>
      <w:r>
        <w:rPr>
          <w:rFonts w:ascii="Calibri" w:cs="Calibri" w:eastAsia="Calibri" w:hAnsi="Calibri"/>
          <w:b/>
          <w:bCs/>
          <w:color w:val="0F172A"/>
          <w:sz w:val="21"/>
          <w:szCs w:val="21"/>
        </w:rPr>
        <w:t xml:space="preserve">2. Stopień zagrożenia spowodowanego działaniem czynnika</w:t>
      </w:r>
    </w:p>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Wynik oceny ryzyka odniesiony do tego pracownika, a nie sama nazwa grupy zagrożenia. Grupa zagrożenia wchodzi osobno, w punkcie 4.</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 7 pkt 14 lit. b rozporządzenia Ministra Zdrowia z 22 kwietnia 2005 r. w sprawie szkodliwych czynników biologicznych dla zdrowia w środowisku pracy oraz ochrony zdrowia pracowników zawodowo narażonych na te czynniki (Dz. U. z 2026 r. poz. 103)</w:t>
      </w:r>
    </w:p>
    <w:p>
      <w:pPr>
        <w:spacing w:after="100" w:before="180"/>
      </w:pPr>
      <w:r>
        <w:rPr>
          <w:rFonts w:ascii="Calibri" w:cs="Calibri" w:eastAsia="Calibri" w:hAnsi="Calibri"/>
          <w:b/>
          <w:bCs/>
          <w:color w:val="0F172A"/>
          <w:sz w:val="21"/>
          <w:szCs w:val="21"/>
        </w:rPr>
        <w:t xml:space="preserve">3. Awarie i wypadki związane z narażeniem</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gridCol w:w="100"/>
      </w:tblGrid>
      <w:tr>
        <w:trPr>
          <w:tblHeader/>
        </w:trPr>
        <w:tc>
          <w:tcPr>
            <w:tcW w:type="pct" w:w="14%"/>
            <w:shd w:fill="0F172A"/>
          </w:tcPr>
          <w:p>
            <w:pPr>
              <w:jc w:val="left"/>
            </w:pPr>
            <w:r>
              <w:rPr>
                <w:rFonts w:ascii="Calibri" w:cs="Calibri" w:eastAsia="Calibri" w:hAnsi="Calibri"/>
                <w:b/>
                <w:bCs/>
                <w:color w:val="FFFFFF"/>
                <w:sz w:val="19"/>
                <w:szCs w:val="19"/>
              </w:rPr>
              <w:t xml:space="preserve">Data</w:t>
            </w:r>
          </w:p>
        </w:tc>
        <w:tc>
          <w:tcPr>
            <w:tcW w:type="pct" w:w="40%"/>
            <w:shd w:fill="0F172A"/>
          </w:tcPr>
          <w:p>
            <w:pPr>
              <w:jc w:val="left"/>
            </w:pPr>
            <w:r>
              <w:rPr>
                <w:rFonts w:ascii="Calibri" w:cs="Calibri" w:eastAsia="Calibri" w:hAnsi="Calibri"/>
                <w:b/>
                <w:bCs/>
                <w:color w:val="FFFFFF"/>
                <w:sz w:val="19"/>
                <w:szCs w:val="19"/>
              </w:rPr>
              <w:t xml:space="preserve">Opis zdarzenia</w:t>
            </w:r>
          </w:p>
        </w:tc>
        <w:tc>
          <w:tcPr>
            <w:tcW w:type="pct" w:w="20%"/>
            <w:shd w:fill="0F172A"/>
          </w:tcPr>
          <w:p>
            <w:pPr>
              <w:jc w:val="left"/>
            </w:pPr>
            <w:r>
              <w:rPr>
                <w:rFonts w:ascii="Calibri" w:cs="Calibri" w:eastAsia="Calibri" w:hAnsi="Calibri"/>
                <w:b/>
                <w:bCs/>
                <w:color w:val="FFFFFF"/>
                <w:sz w:val="19"/>
                <w:szCs w:val="19"/>
              </w:rPr>
              <w:t xml:space="preserve">Czynnik</w:t>
            </w:r>
          </w:p>
        </w:tc>
        <w:tc>
          <w:tcPr>
            <w:tcW w:type="pct" w:w="26%"/>
            <w:shd w:fill="0F172A"/>
          </w:tcPr>
          <w:p>
            <w:pPr>
              <w:jc w:val="left"/>
            </w:pPr>
            <w:r>
              <w:rPr>
                <w:rFonts w:ascii="Calibri" w:cs="Calibri" w:eastAsia="Calibri" w:hAnsi="Calibri"/>
                <w:b/>
                <w:bCs/>
                <w:color w:val="FFFFFF"/>
                <w:sz w:val="19"/>
                <w:szCs w:val="19"/>
              </w:rPr>
              <w:t xml:space="preserve">Podjęte działania</w:t>
            </w:r>
          </w:p>
        </w:tc>
      </w:tr>
      <w:tr>
        <w:tc>
          <w:tcPr>
            <w:tcW w:type="pct" w:w="14%"/>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6%"/>
          </w:tcPr>
          <w:p>
            <w:pPr>
              <w:jc w:val="left"/>
            </w:pPr>
            <w:r>
              <w:rPr>
                <w:rFonts w:ascii="Calibri" w:cs="Calibri" w:eastAsia="Calibri" w:hAnsi="Calibri"/>
                <w:b w:val="false"/>
                <w:bCs w:val="false"/>
                <w:color w:val="1F2937"/>
                <w:sz w:val="19"/>
                <w:szCs w:val="19"/>
              </w:rPr>
              <w:t xml:space="preserve"> </w:t>
            </w:r>
          </w:p>
        </w:tc>
      </w:tr>
      <w:tr>
        <w:tc>
          <w:tcPr>
            <w:tcW w:type="pct" w:w="14%"/>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6%"/>
          </w:tcPr>
          <w:p>
            <w:pPr>
              <w:jc w:val="left"/>
            </w:pPr>
            <w:r>
              <w:rPr>
                <w:rFonts w:ascii="Calibri" w:cs="Calibri" w:eastAsia="Calibri" w:hAnsi="Calibri"/>
                <w:b w:val="false"/>
                <w:bCs w:val="false"/>
                <w:color w:val="1F2937"/>
                <w:sz w:val="19"/>
                <w:szCs w:val="19"/>
              </w:rPr>
              <w:t xml:space="preserve"> </w:t>
            </w:r>
          </w:p>
        </w:tc>
      </w:tr>
      <w:tr>
        <w:tc>
          <w:tcPr>
            <w:tcW w:type="pct" w:w="14%"/>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6%"/>
          </w:tcPr>
          <w:p>
            <w:pPr>
              <w:jc w:val="left"/>
            </w:pPr>
            <w:r>
              <w:rPr>
                <w:rFonts w:ascii="Calibri" w:cs="Calibri" w:eastAsia="Calibri" w:hAnsi="Calibri"/>
                <w:b w:val="false"/>
                <w:bCs w:val="false"/>
                <w:color w:val="1F2937"/>
                <w:sz w:val="19"/>
                <w:szCs w:val="19"/>
              </w:rPr>
              <w:t xml:space="preserve"> </w:t>
            </w:r>
          </w:p>
        </w:tc>
      </w:tr>
      <w:tr>
        <w:tc>
          <w:tcPr>
            <w:tcW w:type="pct" w:w="14%"/>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6%"/>
          </w:tcPr>
          <w:p>
            <w:pPr>
              <w:jc w:val="left"/>
            </w:pPr>
            <w:r>
              <w:rPr>
                <w:rFonts w:ascii="Calibri" w:cs="Calibri" w:eastAsia="Calibri" w:hAnsi="Calibri"/>
                <w:b w:val="false"/>
                <w:bCs w:val="false"/>
                <w:color w:val="1F2937"/>
                <w:sz w:val="19"/>
                <w:szCs w:val="19"/>
              </w:rPr>
              <w:t xml:space="preserve"> </w:t>
            </w:r>
          </w:p>
        </w:tc>
      </w:tr>
      <w:tr>
        <w:tc>
          <w:tcPr>
            <w:tcW w:type="pct" w:w="14%"/>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6%"/>
          </w:tcPr>
          <w:p>
            <w:pPr>
              <w:jc w:val="left"/>
            </w:pPr>
            <w:r>
              <w:rPr>
                <w:rFonts w:ascii="Calibri" w:cs="Calibri" w:eastAsia="Calibri" w:hAnsi="Calibri"/>
                <w:b w:val="false"/>
                <w:bCs w:val="false"/>
                <w:color w:val="1F2937"/>
                <w:sz w:val="19"/>
                <w:szCs w:val="19"/>
              </w:rPr>
              <w:t xml:space="preserve"> </w:t>
            </w:r>
          </w:p>
        </w:tc>
      </w:tr>
    </w:tbl>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Wpis jest odrębnym obowiązkiem i nie zastępuje go protokół powypadkowy. Odnotowuje się także zdarzenia bez skutków zdrowotnych, jeżeli mogły spowodować uwolnienie się czynnika.</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 7 pkt 14 lit. c rozporządzenia Ministra Zdrowia z 22 kwietnia 2005 r. w sprawie szkodliwych czynników biologicznych dla zdrowia w środowisku pracy oraz ochrony zdrowia pracowników zawodowo narażonych na te czynniki (Dz. U. z 2026 r. poz. 103)</w:t>
      </w:r>
    </w:p>
    <w:p>
      <w:pPr>
        <w:spacing w:after="100" w:before="180"/>
      </w:pPr>
      <w:r>
        <w:rPr>
          <w:rFonts w:ascii="Calibri" w:cs="Calibri" w:eastAsia="Calibri" w:hAnsi="Calibri"/>
          <w:b/>
          <w:bCs/>
          <w:color w:val="0F172A"/>
          <w:sz w:val="21"/>
          <w:szCs w:val="21"/>
        </w:rPr>
        <w:t xml:space="preserve">4. Wynik oceny ryzyka: nazwa czynnika i grupa zagrożenia</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gridCol w:w="100"/>
        <w:gridCol w:w="100"/>
      </w:tblGrid>
      <w:tr>
        <w:trPr>
          <w:tblHeader/>
        </w:trPr>
        <w:tc>
          <w:tcPr>
            <w:tcW w:type="pct" w:w="6%"/>
            <w:shd w:fill="0F172A"/>
          </w:tcPr>
          <w:p>
            <w:pPr>
              <w:jc w:val="left"/>
            </w:pPr>
            <w:r>
              <w:rPr>
                <w:rFonts w:ascii="Calibri" w:cs="Calibri" w:eastAsia="Calibri" w:hAnsi="Calibri"/>
                <w:b/>
                <w:bCs/>
                <w:color w:val="FFFFFF"/>
                <w:sz w:val="19"/>
                <w:szCs w:val="19"/>
              </w:rPr>
              <w:t xml:space="preserve">Lp.</w:t>
            </w:r>
          </w:p>
        </w:tc>
        <w:tc>
          <w:tcPr>
            <w:tcW w:type="pct" w:w="40%"/>
            <w:shd w:fill="0F172A"/>
          </w:tcPr>
          <w:p>
            <w:pPr>
              <w:jc w:val="left"/>
            </w:pPr>
            <w:r>
              <w:rPr>
                <w:rFonts w:ascii="Calibri" w:cs="Calibri" w:eastAsia="Calibri" w:hAnsi="Calibri"/>
                <w:b/>
                <w:bCs/>
                <w:color w:val="FFFFFF"/>
                <w:sz w:val="19"/>
                <w:szCs w:val="19"/>
              </w:rPr>
              <w:t xml:space="preserve">Nazwa czynnika biologicznego</w:t>
            </w:r>
          </w:p>
        </w:tc>
        <w:tc>
          <w:tcPr>
            <w:tcW w:type="pct" w:w="16%"/>
            <w:shd w:fill="0F172A"/>
          </w:tcPr>
          <w:p>
            <w:pPr>
              <w:jc w:val="left"/>
            </w:pPr>
            <w:r>
              <w:rPr>
                <w:rFonts w:ascii="Calibri" w:cs="Calibri" w:eastAsia="Calibri" w:hAnsi="Calibri"/>
                <w:b/>
                <w:bCs/>
                <w:color w:val="FFFFFF"/>
                <w:sz w:val="19"/>
                <w:szCs w:val="19"/>
              </w:rPr>
              <w:t xml:space="preserve">Grupa zagrożenia</w:t>
            </w:r>
          </w:p>
        </w:tc>
        <w:tc>
          <w:tcPr>
            <w:tcW w:type="pct" w:w="20%"/>
            <w:shd w:fill="0F172A"/>
          </w:tcPr>
          <w:p>
            <w:pPr>
              <w:jc w:val="left"/>
            </w:pPr>
            <w:r>
              <w:rPr>
                <w:rFonts w:ascii="Calibri" w:cs="Calibri" w:eastAsia="Calibri" w:hAnsi="Calibri"/>
                <w:b/>
                <w:bCs/>
                <w:color w:val="FFFFFF"/>
                <w:sz w:val="19"/>
                <w:szCs w:val="19"/>
              </w:rPr>
              <w:t xml:space="preserve">Oznaczenia dodatkowe</w:t>
            </w:r>
          </w:p>
        </w:tc>
        <w:tc>
          <w:tcPr>
            <w:tcW w:type="pct" w:w="18%"/>
            <w:shd w:fill="0F172A"/>
          </w:tcPr>
          <w:p>
            <w:pPr>
              <w:jc w:val="left"/>
            </w:pPr>
            <w:r>
              <w:rPr>
                <w:rFonts w:ascii="Calibri" w:cs="Calibri" w:eastAsia="Calibri" w:hAnsi="Calibri"/>
                <w:b/>
                <w:bCs/>
                <w:color w:val="FFFFFF"/>
                <w:sz w:val="19"/>
                <w:szCs w:val="19"/>
              </w:rPr>
              <w:t xml:space="preserve">Data oceny</w:t>
            </w:r>
          </w:p>
        </w:tc>
      </w:tr>
      <w:tr>
        <w:tc>
          <w:tcPr>
            <w:tcW w:type="pct" w:w="6%"/>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18%"/>
          </w:tcPr>
          <w:p>
            <w:pPr>
              <w:jc w:val="left"/>
            </w:pPr>
            <w:r>
              <w:rPr>
                <w:rFonts w:ascii="Calibri" w:cs="Calibri" w:eastAsia="Calibri" w:hAnsi="Calibri"/>
                <w:b w:val="false"/>
                <w:bCs w:val="false"/>
                <w:color w:val="1F2937"/>
                <w:sz w:val="19"/>
                <w:szCs w:val="19"/>
              </w:rPr>
              <w:t xml:space="preserve"> </w:t>
            </w:r>
          </w:p>
        </w:tc>
      </w:tr>
      <w:tr>
        <w:tc>
          <w:tcPr>
            <w:tcW w:type="pct" w:w="6%"/>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18%"/>
          </w:tcPr>
          <w:p>
            <w:pPr>
              <w:jc w:val="left"/>
            </w:pPr>
            <w:r>
              <w:rPr>
                <w:rFonts w:ascii="Calibri" w:cs="Calibri" w:eastAsia="Calibri" w:hAnsi="Calibri"/>
                <w:b w:val="false"/>
                <w:bCs w:val="false"/>
                <w:color w:val="1F2937"/>
                <w:sz w:val="19"/>
                <w:szCs w:val="19"/>
              </w:rPr>
              <w:t xml:space="preserve"> </w:t>
            </w:r>
          </w:p>
        </w:tc>
      </w:tr>
      <w:tr>
        <w:tc>
          <w:tcPr>
            <w:tcW w:type="pct" w:w="6%"/>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18%"/>
          </w:tcPr>
          <w:p>
            <w:pPr>
              <w:jc w:val="left"/>
            </w:pPr>
            <w:r>
              <w:rPr>
                <w:rFonts w:ascii="Calibri" w:cs="Calibri" w:eastAsia="Calibri" w:hAnsi="Calibri"/>
                <w:b w:val="false"/>
                <w:bCs w:val="false"/>
                <w:color w:val="1F2937"/>
                <w:sz w:val="19"/>
                <w:szCs w:val="19"/>
              </w:rPr>
              <w:t xml:space="preserve"> </w:t>
            </w:r>
          </w:p>
        </w:tc>
      </w:tr>
      <w:tr>
        <w:tc>
          <w:tcPr>
            <w:tcW w:type="pct" w:w="6%"/>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18%"/>
          </w:tcPr>
          <w:p>
            <w:pPr>
              <w:jc w:val="left"/>
            </w:pPr>
            <w:r>
              <w:rPr>
                <w:rFonts w:ascii="Calibri" w:cs="Calibri" w:eastAsia="Calibri" w:hAnsi="Calibri"/>
                <w:b w:val="false"/>
                <w:bCs w:val="false"/>
                <w:color w:val="1F2937"/>
                <w:sz w:val="19"/>
                <w:szCs w:val="19"/>
              </w:rPr>
              <w:t xml:space="preserve"> </w:t>
            </w:r>
          </w:p>
        </w:tc>
      </w:tr>
      <w:tr>
        <w:tc>
          <w:tcPr>
            <w:tcW w:type="pct" w:w="6%"/>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18%"/>
          </w:tcPr>
          <w:p>
            <w:pPr>
              <w:jc w:val="left"/>
            </w:pPr>
            <w:r>
              <w:rPr>
                <w:rFonts w:ascii="Calibri" w:cs="Calibri" w:eastAsia="Calibri" w:hAnsi="Calibri"/>
                <w:b w:val="false"/>
                <w:bCs w:val="false"/>
                <w:color w:val="1F2937"/>
                <w:sz w:val="19"/>
                <w:szCs w:val="19"/>
              </w:rPr>
              <w:t xml:space="preserve"> </w:t>
            </w:r>
          </w:p>
        </w:tc>
      </w:tr>
      <w:tr>
        <w:tc>
          <w:tcPr>
            <w:tcW w:type="pct" w:w="6%"/>
          </w:tcPr>
          <w:p>
            <w:pPr>
              <w:jc w:val="left"/>
            </w:pPr>
            <w:r>
              <w:rPr>
                <w:rFonts w:ascii="Calibri" w:cs="Calibri" w:eastAsia="Calibri" w:hAnsi="Calibri"/>
                <w:b w:val="false"/>
                <w:bCs w:val="false"/>
                <w:color w:val="1F2937"/>
                <w:sz w:val="19"/>
                <w:szCs w:val="19"/>
              </w:rPr>
              <w:t xml:space="preserve"> </w:t>
            </w:r>
          </w:p>
        </w:tc>
        <w:tc>
          <w:tcPr>
            <w:tcW w:type="pct" w:w="40%"/>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18%"/>
          </w:tcPr>
          <w:p>
            <w:pPr>
              <w:jc w:val="left"/>
            </w:pPr>
            <w:r>
              <w:rPr>
                <w:rFonts w:ascii="Calibri" w:cs="Calibri" w:eastAsia="Calibri" w:hAnsi="Calibri"/>
                <w:b w:val="false"/>
                <w:bCs w:val="false"/>
                <w:color w:val="1F2937"/>
                <w:sz w:val="19"/>
                <w:szCs w:val="19"/>
              </w:rPr>
              <w:t xml:space="preserve"> </w:t>
            </w:r>
          </w:p>
        </w:tc>
      </w:tr>
    </w:tbl>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Nazwa musi być konkretna: to ona przesądza o okresie przechowywania rejestru. Oznaczenie D w wykazie z załącznika nr 1 wskazuje na okres dłuższy niż 10 lat.</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 7 pkt 14 lit. d rozporządzenia Ministra Zdrowia z 22 kwietnia 2005 r. w sprawie szkodliwych czynników biologicznych dla zdrowia w środowisku pracy oraz ochrony zdrowia pracowników zawodowo narażonych na te czynniki (Dz. U. z 2026 r. poz. 103)</w:t>
      </w:r>
    </w:p>
    <w:p>
      <w:pPr>
        <w:spacing w:after="100" w:before="180"/>
      </w:pPr>
      <w:r>
        <w:rPr>
          <w:rFonts w:ascii="Calibri" w:cs="Calibri" w:eastAsia="Calibri" w:hAnsi="Calibri"/>
          <w:b/>
          <w:bCs/>
          <w:color w:val="0F172A"/>
          <w:sz w:val="21"/>
          <w:szCs w:val="21"/>
        </w:rPr>
        <w:t xml:space="preserve">5. Liczba pracowników narażonych na działanie czynnika</w:t>
      </w:r>
    </w:p>
    <w:p>
      <w:pPr>
        <w:spacing w:after="160"/>
      </w:pPr>
      <w:r>
        <w:rPr>
          <w:rFonts w:ascii="Calibri" w:cs="Calibri" w:eastAsia="Calibri" w:hAnsi="Calibri"/>
          <w:color w:val="1F2937"/>
          <w:sz w:val="21"/>
          <w:szCs w:val="21"/>
        </w:rPr>
        <w:t xml:space="preserve">Liczba pracowników narażonych </w:t>
      </w:r>
      <w:r>
        <w:rPr>
          <w:rFonts w:ascii="Calibri" w:cs="Calibri" w:eastAsia="Calibri" w:hAnsi="Calibri"/>
          <w:color w:val="595959"/>
          <w:sz w:val="21"/>
          <w:szCs w:val="21"/>
        </w:rPr>
        <w:t xml:space="preserve">..................................</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 7 pkt 14 lit. e rozporządzenia Ministra Zdrowia z 22 kwietnia 2005 r. w sprawie szkodliwych czynników biologicznych dla zdrowia w środowisku pracy oraz ochrony zdrowia pracowników zawodowo narażonych na te czynniki (Dz. U. z 2026 r. poz. 103)</w:t>
      </w:r>
    </w:p>
    <w:p>
      <w:pPr>
        <w:spacing w:after="100" w:before="180"/>
      </w:pPr>
      <w:r>
        <w:rPr>
          <w:rFonts w:ascii="Calibri" w:cs="Calibri" w:eastAsia="Calibri" w:hAnsi="Calibri"/>
          <w:b/>
          <w:bCs/>
          <w:color w:val="0F172A"/>
          <w:sz w:val="21"/>
          <w:szCs w:val="21"/>
        </w:rPr>
        <w:t xml:space="preserve">6. Osoba odpowiedzialna u pracodawcy</w:t>
      </w:r>
    </w:p>
    <w:p>
      <w:pPr>
        <w:spacing w:after="160"/>
      </w:pPr>
      <w:r>
        <w:rPr>
          <w:rFonts w:ascii="Calibri" w:cs="Calibri" w:eastAsia="Calibri" w:hAnsi="Calibri"/>
          <w:color w:val="1F2937"/>
          <w:sz w:val="21"/>
          <w:szCs w:val="21"/>
        </w:rPr>
        <w:t xml:space="preserve">Imię i nazwisko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Stanowisko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Numer telefonu kontaktowego </w:t>
      </w:r>
      <w:r>
        <w:rPr>
          <w:rFonts w:ascii="Calibri" w:cs="Calibri" w:eastAsia="Calibri" w:hAnsi="Calibri"/>
          <w:color w:val="595959"/>
          <w:sz w:val="21"/>
          <w:szCs w:val="21"/>
        </w:rPr>
        <w:t xml:space="preserve">..................................</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 7 pkt 14 lit. f rozporządzenia Ministra Zdrowia z 22 kwietnia 2005 r. w sprawie szkodliwych czynników biologicznych dla zdrowia w środowisku pracy oraz ochrony zdrowia pracowników zawodowo narażonych na te czynniki (Dz. U. z 2026 r. poz. 103)</w:t>
      </w:r>
    </w:p>
    <w:p>
      <w:pPr>
        <w:spacing w:after="120" w:before="260"/>
      </w:pPr>
      <w:r>
        <w:rPr>
          <w:rFonts w:ascii="Calibri" w:cs="Calibri" w:eastAsia="Calibri" w:hAnsi="Calibri"/>
          <w:b/>
          <w:bCs/>
          <w:color w:val="0F172A"/>
          <w:sz w:val="24"/>
          <w:szCs w:val="24"/>
        </w:rPr>
        <w:t xml:space="preserve">Okres przechowywania</w:t>
      </w:r>
    </w:p>
    <w:p>
      <w:pPr>
        <w:spacing w:after="120"/>
        <w:jc w:val="both"/>
      </w:pPr>
      <w:r>
        <w:rPr>
          <w:rFonts w:ascii="Calibri" w:cs="Calibri" w:eastAsia="Calibri" w:hAnsi="Calibri"/>
          <w:b w:val="false"/>
          <w:bCs w:val="false"/>
          <w:i w:val="false"/>
          <w:iCs w:val="false"/>
          <w:color w:val="1F2937"/>
          <w:sz w:val="21"/>
          <w:szCs w:val="21"/>
        </w:rPr>
        <w:t xml:space="preserve">Rejestr przechowuje się przez okres niekrótszy niż 10 lat od dnia ustania narażenia. Okres wynosi 40 lat od dnia ostatniego odnotowanego przypadku narażenia, gdy czynnik może być przyczyną choroby przewlekłej lub utajonej, choroby niemożliwej do zdiagnozowania do czasu jej rozwinięcia, choroby o wyjątkowo długim okresie wylęgania, choroby o nawracającym charakterze w długim okresie mimo leczenia albo choroby mogącej powodować poważne, długookresowe powikłania.</w:t>
      </w:r>
    </w:p>
    <w:p>
      <w:pPr>
        <w:spacing w:after="160"/>
      </w:pPr>
      <w:r>
        <w:rPr>
          <w:rFonts w:ascii="Calibri" w:cs="Calibri" w:eastAsia="Calibri" w:hAnsi="Calibri"/>
          <w:color w:val="1F2937"/>
          <w:sz w:val="21"/>
          <w:szCs w:val="21"/>
        </w:rPr>
        <w:t xml:space="preserve">Ustalony okres przechowywania i uzasadnienie </w:t>
      </w:r>
      <w:r>
        <w:rPr>
          <w:rFonts w:ascii="Calibri" w:cs="Calibri" w:eastAsia="Calibri" w:hAnsi="Calibri"/>
          <w:color w:val="595959"/>
          <w:sz w:val="21"/>
          <w:szCs w:val="21"/>
        </w:rPr>
        <w:t xml:space="preserve">..............................</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 10 ust. 1 i 2 rozporządzenia Ministra Zdrowia z 22 kwietnia 2005 r. w sprawie szkodliwych czynników biologicznych dla zdrowia w środowisku pracy oraz ochrony zdrowia pracowników zawodowo narażonych na te czynniki (Dz. U. z 2026 r. poz. 103)</w:t>
      </w:r>
    </w:p>
    <w:p>
      <w:pPr>
        <w:spacing w:after="40" w:before="420"/>
      </w:pPr>
      <w:r>
        <w:rPr>
          <w:rFonts w:ascii="Calibri" w:cs="Calibri" w:eastAsia="Calibri" w:hAnsi="Calibri"/>
          <w:color w:val="595959"/>
          <w:sz w:val="21"/>
          <w:szCs w:val="21"/>
        </w:rPr>
        <w:t xml:space="preserve">..................................</w:t>
      </w:r>
      <w:r>
        <w:rPr>
          <w:rFonts w:ascii="Calibri" w:cs="Calibri" w:eastAsia="Calibri" w:hAnsi="Calibri"/>
          <w:sz w:val="21"/>
          <w:szCs w:val="21"/>
        </w:rPr>
        <w:t xml:space="preserv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(data i podpis osoby prowadzącej rejestr)   </w:t>
      </w:r>
      <w:r>
        <w:rPr>
          <w:rFonts w:ascii="Calibri" w:cs="Calibri" w:eastAsia="Calibri" w:hAnsi="Calibri"/>
          <w:color w:val="595959"/>
          <w:sz w:val="16"/>
          <w:szCs w:val="16"/>
        </w:rPr>
        <w:t xml:space="preserve">(data i podpis pracodawcy)</w:t>
      </w:r>
    </w:p>
    <w:sectPr>
      <w:footerReference w:type="default" r:id="rId7"/>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5"/>
        <w:szCs w:val="15"/>
      </w:rPr>
      <w:t xml:space="preserve">NEW PROJECT Andrzej Brzeziński  |  https://newproject360.pl/czynniki-biologiczne-ab/  |  wersja pakietu 1.0, stan prawny na dzień 23 sierpnia 2026 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Rejestr Pracownikow</dc:title>
  <dc:creator>NEW PROJECT Andrzej Brzeziński</dc:creator>
  <dc:description>Wzór z pakietu rejestrów i zgłoszeń przy szkodliwych czynnikach biologicznych. Stan prawny w stopce dokumentu.</dc:description>
  <cp:lastModifiedBy>Un-named</cp:lastModifiedBy>
  <cp:revision>1</cp:revision>
  <dcterms:created xsi:type="dcterms:W3CDTF">2026-08-23T05:38:19.667Z</dcterms:created>
  <dcterms:modified xsi:type="dcterms:W3CDTF">2026-08-23T05:38:19.667Z</dcterms:modified>
</cp:coreProperties>
</file>

<file path=docProps/custom.xml><?xml version="1.0" encoding="utf-8"?>
<Properties xmlns="http://schemas.openxmlformats.org/officeDocument/2006/custom-properties" xmlns:vt="http://schemas.openxmlformats.org/officeDocument/2006/docPropsVTypes"/>
</file>