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center"/>
      </w:pPr>
      <w:r>
        <w:rPr>
          <w:rFonts w:ascii="Calibri" w:cs="Calibri" w:eastAsia="Calibri" w:hAnsi="Calibri"/>
          <w:b/>
          <w:bCs/>
          <w:color w:val="0F172A"/>
          <w:sz w:val="30"/>
          <w:szCs w:val="30"/>
        </w:rPr>
        <w:t xml:space="preserve">Aneks do regulaminu pracy</w:t>
      </w:r>
    </w:p>
    <w:p>
      <w:pPr>
        <w:spacing w:after="260"/>
        <w:jc w:val="center"/>
      </w:pPr>
      <w:r>
        <w:rPr>
          <w:rFonts w:ascii="Calibri" w:cs="Calibri" w:eastAsia="Calibri" w:hAnsi="Calibri"/>
          <w:i/>
          <w:iCs/>
          <w:color w:val="595959"/>
          <w:sz w:val="20"/>
          <w:szCs w:val="20"/>
        </w:rPr>
        <w:t xml:space="preserve">Wprowadzenie punktu 10 wymaganego przez art. 104(1) § 1 Kodeksu pracy</w:t>
      </w:r>
    </w:p>
    <w:p>
      <w:pPr>
        <w:spacing w:after="160"/>
      </w:pPr>
      <w:r>
        <w:rPr>
          <w:rFonts w:ascii="Calibri" w:cs="Calibri" w:eastAsia="Calibri" w:hAnsi="Calibri"/>
          <w:color w:val="1F2937"/>
          <w:sz w:val="21"/>
          <w:szCs w:val="21"/>
        </w:rPr>
        <w:t xml:space="preserve">Pracodawca (nazwa, adres)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Regulamin pracy z dnia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Data sporządzenia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Numer aneksu </w:t>
      </w:r>
      <w:r>
        <w:rPr>
          <w:rFonts w:ascii="Calibri" w:cs="Calibri" w:eastAsia="Calibri" w:hAnsi="Calibri"/>
          <w:color w:val="595959"/>
          <w:sz w:val="21"/>
          <w:szCs w:val="21"/>
        </w:rPr>
        <w:t xml:space="preserve">.........................</w:t>
      </w:r>
    </w:p>
    <w:p>
      <w:pPr>
        <w:spacing w:after="120"/>
        <w:jc w:val="both"/>
      </w:pPr>
      <w:r>
        <w:rPr>
          <w:rFonts w:ascii="Calibri" w:cs="Calibri" w:eastAsia="Calibri" w:hAnsi="Calibri"/>
          <w:b w:val="false"/>
          <w:bCs w:val="false"/>
          <w:i w:val="false"/>
          <w:iCs w:val="false"/>
          <w:color w:val="1F2937"/>
          <w:sz w:val="21"/>
          <w:szCs w:val="21"/>
        </w:rPr>
        <w:t xml:space="preserve">Na podstawie art. 104(1) § 1 pkt 10 Kodeksu pracy w brzmieniu nadanym ustawą z 19 czerwca 2026 r. o zmianie ustawy Kodeks pracy oraz ustawy Kodeks postępowania cywilnego (Dz. U. poz. 1046) w regulaminie pracy wprowadza się następującą zmianę.</w:t>
      </w:r>
    </w:p>
    <w:p>
      <w:pPr>
        <w:keepNext/>
        <w:spacing w:after="120" w:before="260"/>
      </w:pPr>
      <w:r>
        <w:rPr>
          <w:rFonts w:ascii="Calibri" w:cs="Calibri" w:eastAsia="Calibri" w:hAnsi="Calibri"/>
          <w:b/>
          <w:bCs/>
          <w:color w:val="0F172A"/>
          <w:sz w:val="24"/>
          <w:szCs w:val="24"/>
        </w:rPr>
        <w:t xml:space="preserve">§ 1. Zmiana treści regulaminu pracy</w:t>
      </w:r>
    </w:p>
    <w:p>
      <w:pPr>
        <w:spacing w:after="120"/>
        <w:jc w:val="both"/>
      </w:pPr>
      <w:r>
        <w:rPr>
          <w:rFonts w:ascii="Calibri" w:cs="Calibri" w:eastAsia="Calibri" w:hAnsi="Calibri"/>
          <w:b w:val="false"/>
          <w:bCs w:val="false"/>
          <w:i w:val="false"/>
          <w:iCs w:val="false"/>
          <w:color w:val="1F2937"/>
          <w:sz w:val="21"/>
          <w:szCs w:val="21"/>
        </w:rPr>
        <w:t xml:space="preserve">W rozdziale regulaminu pracy określającym prawa i obowiązki związane z porządkiem w zakładzie pracy dodaje się punkt w brzmieniu:</w:t>
      </w:r>
    </w:p>
    <w:p>
      <w:pPr>
        <w:spacing w:after="120"/>
        <w:jc w:val="both"/>
      </w:pPr>
      <w:r>
        <w:rPr>
          <w:rFonts w:ascii="Calibri" w:cs="Calibri" w:eastAsia="Calibri" w:hAnsi="Calibri"/>
          <w:b/>
          <w:bCs/>
          <w:i w:val="false"/>
          <w:iCs w:val="false"/>
          <w:color w:val="1F2937"/>
          <w:sz w:val="21"/>
          <w:szCs w:val="21"/>
        </w:rPr>
        <w:t xml:space="preserve">Reguły, procedury oraz częstotliwość działań w obszarach przeciwdziałania naruszaniu godności oraz innych dóbr osobistych pracowników, naruszaniu zasady równego traktowania w zatrudnieniu oraz dyskryminacji w zatrudnieniu, a także mobbingowi, określa załącznik do regulaminu pracy.</w:t>
      </w:r>
    </w:p>
    <w:p>
      <w:pPr>
        <w:spacing w:after="120"/>
        <w:jc w:val="both"/>
      </w:pPr>
      <w:r>
        <w:rPr>
          <w:rFonts w:ascii="Calibri" w:cs="Calibri" w:eastAsia="Calibri" w:hAnsi="Calibri"/>
          <w:b w:val="false"/>
          <w:bCs w:val="false"/>
          <w:i w:val="false"/>
          <w:iCs w:val="false"/>
          <w:color w:val="1F2937"/>
          <w:sz w:val="21"/>
          <w:szCs w:val="21"/>
        </w:rPr>
        <w:t xml:space="preserve">Obowiązek ustalenia reguł, procedur oraz częstotliwości działań w tych obszarach wynika z art. 94(3a) i dotyczy pracodawcy zatrudniającego co najmniej 10 pracowników. Sam art. 104(1) § 1 pkt 10, który wymienia te reguły wśród treści regulaminu pracy, nie stawia własnego progu zatrudnienia. Dlatego pracodawca zatrudniający mniej niż 10 osób, który dobrowolnie ma regulamin pracy, powinien sprawdzić, w jakim zakresie punkt 10 go dotyczy; próg 10 pracowników odnosi się do obowiązku z art. 94(3a), a nie do zakresu każdego istniejącego regulaminu pracy. Zastrzeżenie na końcu punktu 10 wyklucza dublowanie: kto wydał odrębny regulamin z art. 94(3a), regulaminu pracy w tym zakresie nie zmienia, i odwrotnie.</w:t>
      </w:r>
    </w:p>
    <w:p>
      <w:pPr>
        <w:spacing w:after="200" w:before="120"/>
      </w:pPr>
      <w:r>
        <w:rPr>
          <w:rFonts w:ascii="Calibri" w:cs="Calibri" w:eastAsia="Calibri" w:hAnsi="Calibri"/>
          <w:b/>
          <w:bCs/>
          <w:i/>
          <w:iCs/>
          <w:color w:val="595959"/>
          <w:sz w:val="17"/>
          <w:szCs w:val="17"/>
        </w:rPr>
        <w:t xml:space="preserve">Jak wypełnić: </w:t>
      </w:r>
      <w:r>
        <w:rPr>
          <w:rFonts w:ascii="Calibri" w:cs="Calibri" w:eastAsia="Calibri" w:hAnsi="Calibri"/>
          <w:i/>
          <w:iCs/>
          <w:color w:val="595959"/>
          <w:sz w:val="17"/>
          <w:szCs w:val="17"/>
        </w:rPr>
        <w:t xml:space="preserve">Treść reguł, procedur i częstotliwości można wpisać wprost do regulaminu pracy albo umieścić w załączniku, jak wyżej. Drugie rozwiązanie jest wygodniejsze, bo zmiana samych częstotliwości nie wymaga wtedy przepisywania całego regulaminu. Załącznik pozostaje jednak częścią regulaminu pracy: jego zmiana podlega temu samemu trybowi zmiany, podaniu do wiadomości i dwutygodniowemu terminowi wejścia w życie.</w:t>
      </w:r>
    </w:p>
    <w:p>
      <w:pPr>
        <w:keepNext/>
        <w:spacing w:after="120" w:before="260"/>
      </w:pPr>
      <w:r>
        <w:rPr>
          <w:rFonts w:ascii="Calibri" w:cs="Calibri" w:eastAsia="Calibri" w:hAnsi="Calibri"/>
          <w:b/>
          <w:bCs/>
          <w:color w:val="0F172A"/>
          <w:sz w:val="24"/>
          <w:szCs w:val="24"/>
        </w:rPr>
        <w:t xml:space="preserve">§ 2. Załącznik: reguły, procedury i częstotliwość działań</w:t>
      </w:r>
    </w:p>
    <w:p>
      <w:pPr>
        <w:keepNext/>
        <w:spacing w:after="100" w:before="180"/>
      </w:pPr>
      <w:r>
        <w:rPr>
          <w:rFonts w:ascii="Calibri" w:cs="Calibri" w:eastAsia="Calibri" w:hAnsi="Calibri"/>
          <w:b/>
          <w:bCs/>
          <w:color w:val="0F172A"/>
          <w:sz w:val="21"/>
          <w:szCs w:val="21"/>
        </w:rPr>
        <w:t xml:space="preserve">Reguły</w:t>
      </w:r>
    </w:p>
    <w:p>
      <w:pPr>
        <w:spacing w:after="120"/>
        <w:jc w:val="both"/>
      </w:pPr>
      <w:r>
        <w:rPr>
          <w:rFonts w:ascii="Calibri" w:cs="Calibri" w:eastAsia="Calibri" w:hAnsi="Calibri"/>
          <w:b w:val="false"/>
          <w:bCs w:val="false"/>
          <w:i w:val="false"/>
          <w:iCs w:val="false"/>
          <w:color w:val="1F2937"/>
          <w:sz w:val="21"/>
          <w:szCs w:val="21"/>
        </w:rPr>
        <w:t xml:space="preserve">Mobbing oznacza zachowania polegające na uporczywym nękaniu pracownika. Uporczywość nękania polega na tym, że jest ono powtarzalne, nawracające lub stałe. Mobbingiem nie są zachowania incydentalne, choćby stanowiły naruszenie dóbr osobistych pracownika. Za mobbing nie mogą być uznane uzasadnione i wyrażone we właściwej formie zachowania wobec pracownika, w szczególności rozliczanie z powierzonej pracy lub jej krytyka.</w:t>
      </w:r>
    </w:p>
    <w:p>
      <w:pPr>
        <w:spacing w:after="120"/>
        <w:jc w:val="both"/>
      </w:pPr>
      <w:r>
        <w:rPr>
          <w:rFonts w:ascii="Calibri" w:cs="Calibri" w:eastAsia="Calibri" w:hAnsi="Calibri"/>
          <w:b w:val="false"/>
          <w:bCs w:val="false"/>
          <w:i w:val="false"/>
          <w:iCs w:val="false"/>
          <w:color w:val="1F2937"/>
          <w:sz w:val="21"/>
          <w:szCs w:val="21"/>
        </w:rPr>
        <w:t xml:space="preserve">Zachowania stanowiące mobbing mogą pochodzić w szczególności od pracodawcy, przełożonego, osoby zajmującej równorzędne stanowisko, podwładnego, innego pracownika oraz osób wykonujących pracę na innej podstawie niż stosunek pracy, zarówno od pojedynczej osoby, jak i grupy osób.</w:t>
      </w:r>
    </w:p>
    <w:p>
      <w:pPr>
        <w:spacing w:after="120"/>
        <w:jc w:val="both"/>
      </w:pPr>
      <w:r>
        <w:rPr>
          <w:rFonts w:ascii="Calibri" w:cs="Calibri" w:eastAsia="Calibri" w:hAnsi="Calibri"/>
          <w:b w:val="false"/>
          <w:bCs w:val="false"/>
          <w:i w:val="false"/>
          <w:iCs w:val="false"/>
          <w:color w:val="1F2937"/>
          <w:sz w:val="21"/>
          <w:szCs w:val="21"/>
        </w:rPr>
        <w:t xml:space="preserve">Załącznik obejmuje cztery obszary wymienione w ustawie: naruszanie godności i innych dóbr osobistych, naruszanie zasady równego traktowania, dyskryminację oraz mobbing. Naruszenie równego traktowania i dyskryminacja to przy tym ten sam obszar ujęty z dwóch stron, a jedno zachowanie może naruszać kilka obszarów naraz. Ustalenie, że nie doszło do mobbingu, nie kończy sprawy, jeżeli doszło do naruszenia dóbr osobistych albo zasady równego traktowania; te obszary ocenia się osobno.</w:t>
      </w:r>
    </w:p>
    <w:p>
      <w:pPr>
        <w:keepNext/>
        <w:spacing w:after="100" w:before="180"/>
      </w:pPr>
      <w:r>
        <w:rPr>
          <w:rFonts w:ascii="Calibri" w:cs="Calibri" w:eastAsia="Calibri" w:hAnsi="Calibri"/>
          <w:b/>
          <w:bCs/>
          <w:color w:val="0F172A"/>
          <w:sz w:val="21"/>
          <w:szCs w:val="21"/>
        </w:rPr>
        <w:t xml:space="preserve">Procedury</w:t>
      </w:r>
    </w:p>
    <w:p>
      <w:pPr>
        <w:spacing w:after="160"/>
      </w:pPr>
      <w:r>
        <w:rPr>
          <w:rFonts w:ascii="Calibri" w:cs="Calibri" w:eastAsia="Calibri" w:hAnsi="Calibri"/>
          <w:color w:val="1F2937"/>
          <w:sz w:val="21"/>
          <w:szCs w:val="21"/>
        </w:rPr>
        <w:t xml:space="preserve">Kto przyjmuje zgłoszenia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Kto przyjmuje zgłoszenia dotyczące osoby wskazanej wyżej albo pracodawcy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Formy zgłoszenia </w:t>
      </w:r>
      <w:r>
        <w:rPr>
          <w:rFonts w:ascii="Calibri" w:cs="Calibri" w:eastAsia="Calibri" w:hAnsi="Calibri"/>
          <w:color w:val="595959"/>
          <w:sz w:val="21"/>
          <w:szCs w:val="21"/>
        </w:rPr>
        <w:t xml:space="preserve">..................................................</w:t>
      </w:r>
    </w:p>
    <w:p>
      <w:pPr>
        <w:spacing w:after="120"/>
        <w:jc w:val="both"/>
      </w:pPr>
      <w:r>
        <w:rPr>
          <w:rFonts w:ascii="Calibri" w:cs="Calibri" w:eastAsia="Calibri" w:hAnsi="Calibri"/>
          <w:b w:val="false"/>
          <w:bCs w:val="false"/>
          <w:i w:val="false"/>
          <w:iCs w:val="false"/>
          <w:color w:val="1F2937"/>
          <w:sz w:val="21"/>
          <w:szCs w:val="21"/>
        </w:rPr>
        <w:t xml:space="preserve">Postępowanie wyjaśniające prowadzi zespół powołany przez pracodawcę, złożony z osób bezstronnych wobec obu stron. Zespół wysłuchuje zgłaszającego, osobę, której zgłoszenie dotyczy, oraz wskazanych świadków i sporządza raport. Decyzję podejmuje pracodawca na piśmie, wskazując działania naprawcze i wsparcie oferowane osobie dotkniętej.</w:t>
      </w:r>
    </w:p>
    <w:p>
      <w:pPr>
        <w:spacing w:after="120"/>
        <w:jc w:val="both"/>
      </w:pPr>
      <w:r>
        <w:rPr>
          <w:rFonts w:ascii="Calibri" w:cs="Calibri" w:eastAsia="Calibri" w:hAnsi="Calibri"/>
          <w:b w:val="false"/>
          <w:bCs w:val="false"/>
          <w:i w:val="false"/>
          <w:iCs w:val="false"/>
          <w:color w:val="1F2937"/>
          <w:sz w:val="21"/>
          <w:szCs w:val="21"/>
        </w:rPr>
        <w:t xml:space="preserve">W postępowaniu dotyczącym naruszenia zasady równego traktowania w zatrudnieniu zgłaszający uprawdopodobnia fakt naruszenia, a pracodawca wykazuje, że do naruszenia nie doszło.</w:t>
      </w:r>
    </w:p>
    <w:p>
      <w:pPr>
        <w:spacing w:after="120"/>
        <w:jc w:val="both"/>
      </w:pPr>
      <w:r>
        <w:rPr>
          <w:rFonts w:ascii="Calibri" w:cs="Calibri" w:eastAsia="Calibri" w:hAnsi="Calibri"/>
          <w:b w:val="false"/>
          <w:bCs w:val="false"/>
          <w:i w:val="false"/>
          <w:iCs w:val="false"/>
          <w:color w:val="1F2937"/>
          <w:sz w:val="21"/>
          <w:szCs w:val="21"/>
        </w:rPr>
        <w:t xml:space="preserve">Skorzystanie z uprawnień przysługujących z tytułu naruszenia przepisów prawa pracy nie może być podstawą jakiegokolwiek niekorzystnego traktowania. Ochrona obejmuje także osobę, która udzieliła wsparcia w jakiejkolwiek formie.</w:t>
      </w:r>
    </w:p>
    <w:p>
      <w:pPr>
        <w:spacing w:after="120"/>
        <w:jc w:val="both"/>
      </w:pPr>
      <w:r>
        <w:rPr>
          <w:rFonts w:ascii="Calibri" w:cs="Calibri" w:eastAsia="Calibri" w:hAnsi="Calibri"/>
          <w:b w:val="false"/>
          <w:bCs w:val="false"/>
          <w:i w:val="false"/>
          <w:iCs w:val="false"/>
          <w:color w:val="1F2937"/>
          <w:sz w:val="21"/>
          <w:szCs w:val="21"/>
        </w:rPr>
        <w:t xml:space="preserve">Sygnały niepasujące do formularza. Reakcji wymaga także zgłoszenie anonimowe, niepełne albo wycofane oraz informacja od świadka; pracodawca bada je w zakresie weryfikowalnym i działa z własnej inicjatywy, gdy poweźmie informację o możliwym naruszeniu. Wycofanie zgłoszenia nie usuwa wiedzy pracodawcy.</w:t>
      </w:r>
    </w:p>
    <w:p>
      <w:pPr>
        <w:spacing w:after="120"/>
        <w:jc w:val="both"/>
      </w:pPr>
      <w:r>
        <w:rPr>
          <w:rFonts w:ascii="Calibri" w:cs="Calibri" w:eastAsia="Calibri" w:hAnsi="Calibri"/>
          <w:b w:val="false"/>
          <w:bCs w:val="false"/>
          <w:i w:val="false"/>
          <w:iCs w:val="false"/>
          <w:color w:val="1F2937"/>
          <w:sz w:val="21"/>
          <w:szCs w:val="21"/>
        </w:rPr>
        <w:t xml:space="preserve">Sprawa dotycząca pracodawcy albo osoby zarządzającej. Gdy zgłoszenie dotyczy osoby przyjmującej zgłoszenia albo pracodawcy, sprawę przejmuje wskazana z góry osoba zastępująca, a czynności pracodawcy wykonuje osoba lub organ umocowany odpowiednio do formy prawnej. Gdy bezstronnego składu wewnętrznego nie da się utworzyć, prowadzenie powierza się osobie z zewnątrz; w działalności osoby fizycznej wiążące rozstrzygnięcie należy do sądu pracy, a Państwowa Inspekcja Pracy kontroluje przestrzeganie prawa pracy, nie stwierdzając mobbingu decyzją.</w:t>
      </w:r>
    </w:p>
    <w:p>
      <w:pPr>
        <w:spacing w:after="120"/>
        <w:jc w:val="both"/>
      </w:pPr>
      <w:r>
        <w:rPr>
          <w:rFonts w:ascii="Calibri" w:cs="Calibri" w:eastAsia="Calibri" w:hAnsi="Calibri"/>
          <w:b w:val="false"/>
          <w:bCs w:val="false"/>
          <w:i w:val="false"/>
          <w:iCs w:val="false"/>
          <w:color w:val="1F2937"/>
          <w:sz w:val="21"/>
          <w:szCs w:val="21"/>
        </w:rPr>
        <w:t xml:space="preserve">Dane osobowe i akta. Akta postępowań przechowuje się osobno od akt osobowych, z dostępem według roli i w niezbędnym zakresie oraz z odnotowaniem udostępnień poza zespół. Podstawy przetwarzania, obowiązek informacyjny wobec uczestników i okres przechowywania ustala się według RODO i celu, a nie jednym sztywnym terminem. Pełne elementy obowiązku informacyjnego z art. 13 i 14 RODO zawiera osobny moduł ochrony danych, dołączony do pakietu postępowania wyjaśniającego (dokument 11). Jeżeli pobrano tylko pakiet aneksu, moduł RODO trzeba pobrać osobno; sam aneks nie zawiera gotowej informacji dla uczestników.</w:t>
      </w:r>
    </w:p>
    <w:p>
      <w:pPr>
        <w:keepNext/>
        <w:spacing w:after="100" w:before="180"/>
      </w:pPr>
      <w:r>
        <w:rPr>
          <w:rFonts w:ascii="Calibri" w:cs="Calibri" w:eastAsia="Calibri" w:hAnsi="Calibri"/>
          <w:b/>
          <w:bCs/>
          <w:color w:val="0F172A"/>
          <w:sz w:val="21"/>
          <w:szCs w:val="21"/>
        </w:rPr>
        <w:t xml:space="preserve">Częstotliwość działań</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tblGrid>
      <w:tr>
        <w:trPr>
          <w:cantSplit/>
          <w:tblHeader/>
        </w:trPr>
        <w:tc>
          <w:tcPr>
            <w:tcW w:type="pct" w:w="45%"/>
            <w:shd w:fill="0F172A"/>
          </w:tcPr>
          <w:p>
            <w:pPr>
              <w:jc w:val="left"/>
            </w:pPr>
            <w:r>
              <w:rPr>
                <w:rFonts w:ascii="Calibri" w:cs="Calibri" w:eastAsia="Calibri" w:hAnsi="Calibri"/>
                <w:b/>
                <w:bCs/>
                <w:color w:val="FFFFFF"/>
                <w:sz w:val="19"/>
                <w:szCs w:val="19"/>
              </w:rPr>
              <w:t xml:space="preserve">Działanie</w:t>
            </w:r>
          </w:p>
        </w:tc>
        <w:tc>
          <w:tcPr>
            <w:tcW w:type="pct" w:w="30%"/>
            <w:shd w:fill="0F172A"/>
          </w:tcPr>
          <w:p>
            <w:pPr>
              <w:jc w:val="left"/>
            </w:pPr>
            <w:r>
              <w:rPr>
                <w:rFonts w:ascii="Calibri" w:cs="Calibri" w:eastAsia="Calibri" w:hAnsi="Calibri"/>
                <w:b/>
                <w:bCs/>
                <w:color w:val="FFFFFF"/>
                <w:sz w:val="19"/>
                <w:szCs w:val="19"/>
              </w:rPr>
              <w:t xml:space="preserve">Częstotliwość</w:t>
            </w:r>
          </w:p>
        </w:tc>
        <w:tc>
          <w:tcPr>
            <w:tcW w:type="pct" w:w="25%"/>
            <w:shd w:fill="0F172A"/>
          </w:tcPr>
          <w:p>
            <w:pPr>
              <w:jc w:val="left"/>
            </w:pPr>
            <w:r>
              <w:rPr>
                <w:rFonts w:ascii="Calibri" w:cs="Calibri" w:eastAsia="Calibri" w:hAnsi="Calibri"/>
                <w:b/>
                <w:bCs/>
                <w:color w:val="FFFFFF"/>
                <w:sz w:val="19"/>
                <w:szCs w:val="19"/>
              </w:rPr>
              <w:t xml:space="preserve">Odpowiedzialny</w:t>
            </w:r>
          </w:p>
        </w:tc>
      </w:tr>
      <w:tr>
        <w:trPr>
          <w:cantSplit/>
        </w:trPr>
        <w:tc>
          <w:tcPr>
            <w:tcW w:type="pct" w:w="45%"/>
          </w:tcPr>
          <w:p>
            <w:pPr>
              <w:jc w:val="left"/>
            </w:pPr>
            <w:r>
              <w:rPr>
                <w:rFonts w:ascii="Calibri" w:cs="Calibri" w:eastAsia="Calibri" w:hAnsi="Calibri"/>
                <w:b w:val="false"/>
                <w:bCs w:val="false"/>
                <w:color w:val="1F2937"/>
                <w:sz w:val="19"/>
                <w:szCs w:val="19"/>
              </w:rPr>
              <w:t xml:space="preserve"> </w:t>
            </w:r>
          </w:p>
        </w:tc>
        <w:tc>
          <w:tcPr>
            <w:tcW w:type="pct" w:w="30%"/>
          </w:tcPr>
          <w:p>
            <w:pPr>
              <w:jc w:val="left"/>
            </w:pPr>
            <w:r>
              <w:rPr>
                <w:rFonts w:ascii="Calibri" w:cs="Calibri" w:eastAsia="Calibri" w:hAnsi="Calibri"/>
                <w:b w:val="false"/>
                <w:bCs w:val="false"/>
                <w:color w:val="1F2937"/>
                <w:sz w:val="19"/>
                <w:szCs w:val="19"/>
              </w:rPr>
              <w:t xml:space="preserve"> </w:t>
            </w:r>
          </w:p>
        </w:tc>
        <w:tc>
          <w:tcPr>
            <w:tcW w:type="pct" w:w="25%"/>
          </w:tcPr>
          <w:p>
            <w:pPr>
              <w:jc w:val="left"/>
            </w:pPr>
            <w:r>
              <w:rPr>
                <w:rFonts w:ascii="Calibri" w:cs="Calibri" w:eastAsia="Calibri" w:hAnsi="Calibri"/>
                <w:b w:val="false"/>
                <w:bCs w:val="false"/>
                <w:color w:val="1F2937"/>
                <w:sz w:val="19"/>
                <w:szCs w:val="19"/>
              </w:rPr>
              <w:t xml:space="preserve"> </w:t>
            </w:r>
          </w:p>
        </w:tc>
      </w:tr>
      <w:tr>
        <w:trPr>
          <w:cantSplit/>
        </w:trPr>
        <w:tc>
          <w:tcPr>
            <w:tcW w:type="pct" w:w="45%"/>
          </w:tcPr>
          <w:p>
            <w:pPr>
              <w:jc w:val="left"/>
            </w:pPr>
            <w:r>
              <w:rPr>
                <w:rFonts w:ascii="Calibri" w:cs="Calibri" w:eastAsia="Calibri" w:hAnsi="Calibri"/>
                <w:b w:val="false"/>
                <w:bCs w:val="false"/>
                <w:color w:val="1F2937"/>
                <w:sz w:val="19"/>
                <w:szCs w:val="19"/>
              </w:rPr>
              <w:t xml:space="preserve"> </w:t>
            </w:r>
          </w:p>
        </w:tc>
        <w:tc>
          <w:tcPr>
            <w:tcW w:type="pct" w:w="30%"/>
          </w:tcPr>
          <w:p>
            <w:pPr>
              <w:jc w:val="left"/>
            </w:pPr>
            <w:r>
              <w:rPr>
                <w:rFonts w:ascii="Calibri" w:cs="Calibri" w:eastAsia="Calibri" w:hAnsi="Calibri"/>
                <w:b w:val="false"/>
                <w:bCs w:val="false"/>
                <w:color w:val="1F2937"/>
                <w:sz w:val="19"/>
                <w:szCs w:val="19"/>
              </w:rPr>
              <w:t xml:space="preserve"> </w:t>
            </w:r>
          </w:p>
        </w:tc>
        <w:tc>
          <w:tcPr>
            <w:tcW w:type="pct" w:w="25%"/>
          </w:tcPr>
          <w:p>
            <w:pPr>
              <w:jc w:val="left"/>
            </w:pPr>
            <w:r>
              <w:rPr>
                <w:rFonts w:ascii="Calibri" w:cs="Calibri" w:eastAsia="Calibri" w:hAnsi="Calibri"/>
                <w:b w:val="false"/>
                <w:bCs w:val="false"/>
                <w:color w:val="1F2937"/>
                <w:sz w:val="19"/>
                <w:szCs w:val="19"/>
              </w:rPr>
              <w:t xml:space="preserve"> </w:t>
            </w:r>
          </w:p>
        </w:tc>
      </w:tr>
      <w:tr>
        <w:trPr>
          <w:cantSplit/>
        </w:trPr>
        <w:tc>
          <w:tcPr>
            <w:tcW w:type="pct" w:w="45%"/>
          </w:tcPr>
          <w:p>
            <w:pPr>
              <w:jc w:val="left"/>
            </w:pPr>
            <w:r>
              <w:rPr>
                <w:rFonts w:ascii="Calibri" w:cs="Calibri" w:eastAsia="Calibri" w:hAnsi="Calibri"/>
                <w:b w:val="false"/>
                <w:bCs w:val="false"/>
                <w:color w:val="1F2937"/>
                <w:sz w:val="19"/>
                <w:szCs w:val="19"/>
              </w:rPr>
              <w:t xml:space="preserve"> </w:t>
            </w:r>
          </w:p>
        </w:tc>
        <w:tc>
          <w:tcPr>
            <w:tcW w:type="pct" w:w="30%"/>
          </w:tcPr>
          <w:p>
            <w:pPr>
              <w:jc w:val="left"/>
            </w:pPr>
            <w:r>
              <w:rPr>
                <w:rFonts w:ascii="Calibri" w:cs="Calibri" w:eastAsia="Calibri" w:hAnsi="Calibri"/>
                <w:b w:val="false"/>
                <w:bCs w:val="false"/>
                <w:color w:val="1F2937"/>
                <w:sz w:val="19"/>
                <w:szCs w:val="19"/>
              </w:rPr>
              <w:t xml:space="preserve"> </w:t>
            </w:r>
          </w:p>
        </w:tc>
        <w:tc>
          <w:tcPr>
            <w:tcW w:type="pct" w:w="25%"/>
          </w:tcPr>
          <w:p>
            <w:pPr>
              <w:jc w:val="left"/>
            </w:pPr>
            <w:r>
              <w:rPr>
                <w:rFonts w:ascii="Calibri" w:cs="Calibri" w:eastAsia="Calibri" w:hAnsi="Calibri"/>
                <w:b w:val="false"/>
                <w:bCs w:val="false"/>
                <w:color w:val="1F2937"/>
                <w:sz w:val="19"/>
                <w:szCs w:val="19"/>
              </w:rPr>
              <w:t xml:space="preserve"> </w:t>
            </w:r>
          </w:p>
        </w:tc>
      </w:tr>
      <w:tr>
        <w:trPr>
          <w:cantSplit/>
        </w:trPr>
        <w:tc>
          <w:tcPr>
            <w:tcW w:type="pct" w:w="45%"/>
          </w:tcPr>
          <w:p>
            <w:pPr>
              <w:jc w:val="left"/>
            </w:pPr>
            <w:r>
              <w:rPr>
                <w:rFonts w:ascii="Calibri" w:cs="Calibri" w:eastAsia="Calibri" w:hAnsi="Calibri"/>
                <w:b w:val="false"/>
                <w:bCs w:val="false"/>
                <w:color w:val="1F2937"/>
                <w:sz w:val="19"/>
                <w:szCs w:val="19"/>
              </w:rPr>
              <w:t xml:space="preserve"> </w:t>
            </w:r>
          </w:p>
        </w:tc>
        <w:tc>
          <w:tcPr>
            <w:tcW w:type="pct" w:w="30%"/>
          </w:tcPr>
          <w:p>
            <w:pPr>
              <w:jc w:val="left"/>
            </w:pPr>
            <w:r>
              <w:rPr>
                <w:rFonts w:ascii="Calibri" w:cs="Calibri" w:eastAsia="Calibri" w:hAnsi="Calibri"/>
                <w:b w:val="false"/>
                <w:bCs w:val="false"/>
                <w:color w:val="1F2937"/>
                <w:sz w:val="19"/>
                <w:szCs w:val="19"/>
              </w:rPr>
              <w:t xml:space="preserve"> </w:t>
            </w:r>
          </w:p>
        </w:tc>
        <w:tc>
          <w:tcPr>
            <w:tcW w:type="pct" w:w="25%"/>
          </w:tcPr>
          <w:p>
            <w:pPr>
              <w:jc w:val="left"/>
            </w:pPr>
            <w:r>
              <w:rPr>
                <w:rFonts w:ascii="Calibri" w:cs="Calibri" w:eastAsia="Calibri" w:hAnsi="Calibri"/>
                <w:b w:val="false"/>
                <w:bCs w:val="false"/>
                <w:color w:val="1F2937"/>
                <w:sz w:val="19"/>
                <w:szCs w:val="19"/>
              </w:rPr>
              <w:t xml:space="preserve"> </w:t>
            </w:r>
          </w:p>
        </w:tc>
      </w:tr>
      <w:tr>
        <w:trPr>
          <w:cantSplit/>
        </w:trPr>
        <w:tc>
          <w:tcPr>
            <w:tcW w:type="pct" w:w="45%"/>
          </w:tcPr>
          <w:p>
            <w:pPr>
              <w:jc w:val="left"/>
            </w:pPr>
            <w:r>
              <w:rPr>
                <w:rFonts w:ascii="Calibri" w:cs="Calibri" w:eastAsia="Calibri" w:hAnsi="Calibri"/>
                <w:b w:val="false"/>
                <w:bCs w:val="false"/>
                <w:color w:val="1F2937"/>
                <w:sz w:val="19"/>
                <w:szCs w:val="19"/>
              </w:rPr>
              <w:t xml:space="preserve"> </w:t>
            </w:r>
          </w:p>
        </w:tc>
        <w:tc>
          <w:tcPr>
            <w:tcW w:type="pct" w:w="30%"/>
          </w:tcPr>
          <w:p>
            <w:pPr>
              <w:jc w:val="left"/>
            </w:pPr>
            <w:r>
              <w:rPr>
                <w:rFonts w:ascii="Calibri" w:cs="Calibri" w:eastAsia="Calibri" w:hAnsi="Calibri"/>
                <w:b w:val="false"/>
                <w:bCs w:val="false"/>
                <w:color w:val="1F2937"/>
                <w:sz w:val="19"/>
                <w:szCs w:val="19"/>
              </w:rPr>
              <w:t xml:space="preserve"> </w:t>
            </w:r>
          </w:p>
        </w:tc>
        <w:tc>
          <w:tcPr>
            <w:tcW w:type="pct" w:w="25%"/>
          </w:tcPr>
          <w:p>
            <w:pPr>
              <w:jc w:val="left"/>
            </w:pPr>
            <w:r>
              <w:rPr>
                <w:rFonts w:ascii="Calibri" w:cs="Calibri" w:eastAsia="Calibri" w:hAnsi="Calibri"/>
                <w:b w:val="false"/>
                <w:bCs w:val="false"/>
                <w:color w:val="1F2937"/>
                <w:sz w:val="19"/>
                <w:szCs w:val="19"/>
              </w:rPr>
              <w:t xml:space="preserve"> </w:t>
            </w:r>
          </w:p>
        </w:tc>
      </w:tr>
      <w:tr>
        <w:trPr>
          <w:cantSplit/>
        </w:trPr>
        <w:tc>
          <w:tcPr>
            <w:tcW w:type="pct" w:w="45%"/>
          </w:tcPr>
          <w:p>
            <w:pPr>
              <w:jc w:val="left"/>
            </w:pPr>
            <w:r>
              <w:rPr>
                <w:rFonts w:ascii="Calibri" w:cs="Calibri" w:eastAsia="Calibri" w:hAnsi="Calibri"/>
                <w:b w:val="false"/>
                <w:bCs w:val="false"/>
                <w:color w:val="1F2937"/>
                <w:sz w:val="19"/>
                <w:szCs w:val="19"/>
              </w:rPr>
              <w:t xml:space="preserve"> </w:t>
            </w:r>
          </w:p>
        </w:tc>
        <w:tc>
          <w:tcPr>
            <w:tcW w:type="pct" w:w="30%"/>
          </w:tcPr>
          <w:p>
            <w:pPr>
              <w:jc w:val="left"/>
            </w:pPr>
            <w:r>
              <w:rPr>
                <w:rFonts w:ascii="Calibri" w:cs="Calibri" w:eastAsia="Calibri" w:hAnsi="Calibri"/>
                <w:b w:val="false"/>
                <w:bCs w:val="false"/>
                <w:color w:val="1F2937"/>
                <w:sz w:val="19"/>
                <w:szCs w:val="19"/>
              </w:rPr>
              <w:t xml:space="preserve"> </w:t>
            </w:r>
          </w:p>
        </w:tc>
        <w:tc>
          <w:tcPr>
            <w:tcW w:type="pct" w:w="25%"/>
          </w:tcPr>
          <w:p>
            <w:pPr>
              <w:jc w:val="left"/>
            </w:pPr>
            <w:r>
              <w:rPr>
                <w:rFonts w:ascii="Calibri" w:cs="Calibri" w:eastAsia="Calibri" w:hAnsi="Calibri"/>
                <w:b w:val="false"/>
                <w:bCs w:val="false"/>
                <w:color w:val="1F2937"/>
                <w:sz w:val="19"/>
                <w:szCs w:val="19"/>
              </w:rPr>
              <w:t xml:space="preserve"> </w:t>
            </w:r>
          </w:p>
        </w:tc>
      </w:tr>
    </w:tbl>
    <w:p>
      <w:pPr>
        <w:spacing w:after="200" w:before="120"/>
      </w:pPr>
      <w:r>
        <w:rPr>
          <w:rFonts w:ascii="Calibri" w:cs="Calibri" w:eastAsia="Calibri" w:hAnsi="Calibri"/>
          <w:b/>
          <w:bCs/>
          <w:i/>
          <w:iCs/>
          <w:color w:val="595959"/>
          <w:sz w:val="17"/>
          <w:szCs w:val="17"/>
        </w:rPr>
        <w:t xml:space="preserve">Jak wypełnić: </w:t>
      </w:r>
      <w:r>
        <w:rPr>
          <w:rFonts w:ascii="Calibri" w:cs="Calibri" w:eastAsia="Calibri" w:hAnsi="Calibri"/>
          <w:i/>
          <w:iCs/>
          <w:color w:val="595959"/>
          <w:sz w:val="17"/>
          <w:szCs w:val="17"/>
        </w:rPr>
        <w:t xml:space="preserve">Częstotliwość jest wymieniona w przepisie wprost, obok reguł i procedur. Bez niej zmiana regulaminu pracy nie wykonuje obowiązku w pełni.</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art. 104(1) § 1 pkt 10 Kodeksu pracy, art. 94(3) § 1 do § 10, art. 94 pkt 2c, art. 11(1), art. 18(3e) i art. 18(3f) Kodeksu pracy oraz art. 5, 6 i 9 rozporządzenia 2016/679 (RODO)</w:t>
      </w:r>
    </w:p>
    <w:p>
      <w:pPr>
        <w:keepNext/>
        <w:spacing w:after="120" w:before="260"/>
      </w:pPr>
      <w:r>
        <w:rPr>
          <w:rFonts w:ascii="Calibri" w:cs="Calibri" w:eastAsia="Calibri" w:hAnsi="Calibri"/>
          <w:b/>
          <w:bCs/>
          <w:color w:val="0F172A"/>
          <w:sz w:val="24"/>
          <w:szCs w:val="24"/>
        </w:rPr>
        <w:t xml:space="preserve">§ 3. Wejście w życie</w:t>
      </w:r>
    </w:p>
    <w:p>
      <w:pPr>
        <w:spacing w:after="120"/>
        <w:jc w:val="both"/>
      </w:pPr>
      <w:r>
        <w:rPr>
          <w:rFonts w:ascii="Calibri" w:cs="Calibri" w:eastAsia="Calibri" w:hAnsi="Calibri"/>
          <w:b w:val="false"/>
          <w:bCs w:val="false"/>
          <w:i w:val="false"/>
          <w:iCs w:val="false"/>
          <w:color w:val="1F2937"/>
          <w:sz w:val="21"/>
          <w:szCs w:val="21"/>
        </w:rPr>
        <w:t xml:space="preserve">Zmiana wchodzi w życie po upływie 2 tygodni od dnia podania jej do wiadomości pracowników w sposób przyjęty u pracodawcy.</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art. 104(3) § 1 Kodeksu pracy</w:t>
      </w:r>
    </w:p>
    <w:p>
      <w:pPr>
        <w:spacing w:after="40" w:before="160"/>
      </w:pPr>
      <w:r>
        <w:rPr>
          <w:rFonts w:ascii="Calibri" w:cs="Calibri" w:eastAsia="Calibri" w:hAnsi="Calibri"/>
          <w:color w:val="595959"/>
          <w:sz w:val="21"/>
          <w:szCs w:val="21"/>
        </w:rPr>
        <w:t xml:space="preserve">..................................</w:t>
      </w:r>
      <w:r>
        <w:rPr>
          <w:rFonts w:ascii="Calibri" w:cs="Calibri" w:eastAsia="Calibri" w:hAnsi="Calibri"/>
          <w:sz w:val="21"/>
          <w:szCs w:val="21"/>
        </w:rPr>
        <w:t xml:space="preserve">          </w:t>
      </w:r>
      <w:r>
        <w:rPr>
          <w:rFonts w:ascii="Calibri" w:cs="Calibri" w:eastAsia="Calibri" w:hAnsi="Calibri"/>
          <w:color w:val="595959"/>
          <w:sz w:val="21"/>
          <w:szCs w:val="21"/>
        </w:rPr>
        <w:t xml:space="preserve">..................................</w:t>
      </w:r>
    </w:p>
    <w:p>
      <w:pPr>
        <w:spacing w:after="200"/>
      </w:pPr>
      <w:r>
        <w:rPr>
          <w:rFonts w:ascii="Calibri" w:cs="Calibri" w:eastAsia="Calibri" w:hAnsi="Calibri"/>
          <w:color w:val="595959"/>
          <w:sz w:val="16"/>
          <w:szCs w:val="16"/>
        </w:rPr>
        <w:t xml:space="preserve">Podpis pracodawcy                           </w:t>
      </w:r>
      <w:r>
        <w:rPr>
          <w:rFonts w:ascii="Calibri" w:cs="Calibri" w:eastAsia="Calibri" w:hAnsi="Calibri"/>
          <w:color w:val="595959"/>
          <w:sz w:val="16"/>
          <w:szCs w:val="16"/>
        </w:rPr>
        <w:t xml:space="preserve">Podpis przedstawiciela strony społecznej</w:t>
      </w:r>
    </w:p>
    <w:p>
      <w:pPr>
        <w:spacing w:after="0" w:before="60"/>
      </w:pPr>
      <w:r>
        <w:rPr>
          <w:rFonts w:ascii="Calibri" w:cs="Calibri" w:eastAsia="Calibri" w:hAnsi="Calibri"/>
          <w:i/>
          <w:iCs/>
          <w:color w:val="595959"/>
          <w:sz w:val="13"/>
          <w:szCs w:val="13"/>
        </w:rPr>
        <w:t xml:space="preserve">Jedynym źródłem brzmienia przepisów przytoczonych we wzorze jest Dziennik Ustaw. Wzór nie zwalnia z obowiązku zapoznania się z tekstem ustawy ani z oceny, czy jest odpowiedni w danej sytuacji. Terminy dochodzenia roszczeń biegną niezależnie od postępowania wewnętrznego, więc przy każdej wątpliwości warto sięgnąć po pomoc pełnomocnika.</w:t>
      </w:r>
    </w:p>
    <w:sectPr>
      <w:footerReference w:type="default" r:id="rId7"/>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5"/>
        <w:szCs w:val="15"/>
      </w:rPr>
      <w:t xml:space="preserve">NEW PROJECT Andrzej Brzeziński  |  https://newproject360.pl/mobbing-w-pracy-ab/  |  wersja pakietu 1.2, stan prawny na dzień 3 września 2026 r.</w:t>
    </w:r>
  </w:p>
  <w:p>
    <w:pPr>
      <w:spacing w:before="40"/>
      <w:jc w:val="center"/>
    </w:pPr>
    <w:r>
      <w:rPr>
        <w:rFonts w:ascii="Calibri" w:cs="Calibri" w:eastAsia="Calibri" w:hAnsi="Calibri"/>
        <w:color w:val="595959"/>
        <w:sz w:val="15"/>
        <w:szCs w:val="15"/>
      </w:rPr>
      <w:t xml:space="preserve">Strona </w:t>
    </w:r>
    <w:r>
      <w:rPr>
        <w:rFonts w:ascii="Calibri" w:cs="Calibri" w:eastAsia="Calibri" w:hAnsi="Calibri"/>
        <w:color w:val="595959"/>
        <w:sz w:val="15"/>
        <w:szCs w:val="15"/>
      </w:rPr>
      <w:fldChar w:fldCharType="begin"/>
      <w:instrText xml:space="preserve">PAGE</w:instrText>
      <w:fldChar w:fldCharType="separate"/>
      <w:fldChar w:fldCharType="end"/>
    </w:r>
    <w:r>
      <w:rPr>
        <w:rFonts w:ascii="Calibri" w:cs="Calibri" w:eastAsia="Calibri" w:hAnsi="Calibri"/>
        <w:color w:val="595959"/>
        <w:sz w:val="15"/>
        <w:szCs w:val="15"/>
      </w:rPr>
      <w:t xml:space="preserve"> z </w:t>
    </w:r>
    <w:r>
      <w:rPr>
        <w:rFonts w:ascii="Calibri" w:cs="Calibri" w:eastAsia="Calibri" w:hAnsi="Calibri"/>
        <w:color w:val="595959"/>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Aneks do Regulaminu Pracy</dc:title>
  <dc:creator>NEW PROJECT Andrzej Brzeziński</dc:creator>
  <dc:description>Pakiet zmiany regulaminu pracy o punkt 10 z art. 104(1) § 1 Kodeksu pracy</dc:description>
  <cp:lastModifiedBy>Un-named</cp:lastModifiedBy>
  <cp:revision>1</cp:revision>
  <dcterms:created xsi:type="dcterms:W3CDTF">2026-09-03T19:41:44.055Z</dcterms:created>
  <dcterms:modified xsi:type="dcterms:W3CDTF">2026-09-03T19:41:44.056Z</dcterms:modified>
</cp:coreProperties>
</file>

<file path=docProps/custom.xml><?xml version="1.0" encoding="utf-8"?>
<Properties xmlns="http://schemas.openxmlformats.org/officeDocument/2006/custom-properties" xmlns:vt="http://schemas.openxmlformats.org/officeDocument/2006/docPropsVTypes"/>
</file>