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Program szkolenia dla kadry kierowniczej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Granica między zarządzaniem a nękaniem po 5 listopada 2026 r.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Pracodawca (nazwa, adres)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sporządzenia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Osoba odpowiedzialna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Czas trwania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</w:t>
      </w:r>
    </w:p>
    <w:p>
      <w:pPr>
        <w:keepNext/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Dlaczego kadra kierownicza ma osobne szkolenie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Od 5 listopada 2026 r. zamiar sprawcy przestaje być przesłanką mobbingu. Za mobbing uważa się zachowania, choćby ich celem nie było uporczywe nękanie. Granicę wyznacza natomiast art. 94(3) § 9 Kodeksu pracy: za mobbing nie mogą być uznane uzasadnione i wyrażone we właściwej formie zachowania wobec pracownika, w szczególności rozliczanie z powierzonej pracy lub jej krytyka. Oba warunki muszą być spełnione łącznie.</w:t>
      </w:r>
    </w:p>
    <w:p>
      <w:pPr>
        <w:keepNext/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Zakres tematyczny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</w:tblGrid>
      <w:tr>
        <w:trPr>
          <w:cantSplit/>
          <w:tblHeader/>
        </w:trPr>
        <w:tc>
          <w:tcPr>
            <w:tcW w:type="pct" w:w="3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Temat</w:t>
            </w:r>
          </w:p>
        </w:tc>
        <w:tc>
          <w:tcPr>
            <w:tcW w:type="pct" w:w="1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Czas</w:t>
            </w:r>
          </w:p>
        </w:tc>
        <w:tc>
          <w:tcPr>
            <w:tcW w:type="pct" w:w="5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Kluczowa treść</w:t>
            </w:r>
          </w:p>
        </w:tc>
      </w:tr>
      <w:tr>
        <w:trPr>
          <w:cantSplit/>
        </w:trPr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Co znika z definicji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15 min</w:t>
            </w:r>
          </w:p>
        </w:tc>
        <w:tc>
          <w:tcPr>
            <w:tcW w:type="pct" w:w="5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długotrwałość, skutek i cel przestają być przesłankami</w:t>
            </w:r>
          </w:p>
        </w:tc>
      </w:tr>
      <w:tr>
        <w:trPr>
          <w:cantSplit/>
        </w:trPr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Dwa warunki wyłączenia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25 min</w:t>
            </w:r>
          </w:p>
        </w:tc>
        <w:tc>
          <w:tcPr>
            <w:tcW w:type="pct" w:w="5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uzasadnienie zachowania oraz właściwa forma, ćwiczenia na przykładach</w:t>
            </w:r>
          </w:p>
        </w:tc>
      </w:tr>
      <w:tr>
        <w:trPr>
          <w:cantSplit/>
        </w:trPr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Powtarzalność wzorca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20 min</w:t>
            </w:r>
          </w:p>
        </w:tc>
        <w:tc>
          <w:tcPr>
            <w:tcW w:type="pct" w:w="5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kiedy seria rozmów dyscyplinujących staje się nękaniem</w:t>
            </w:r>
          </w:p>
        </w:tc>
      </w:tr>
      <w:tr>
        <w:trPr>
          <w:cantSplit/>
        </w:trPr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Ocena zindywidualizowana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15 min</w:t>
            </w:r>
          </w:p>
        </w:tc>
        <w:tc>
          <w:tcPr>
            <w:tcW w:type="pct" w:w="5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ten sam komunikat wobec dwóch osób może być oceniony różnie</w:t>
            </w:r>
          </w:p>
        </w:tc>
      </w:tr>
      <w:tr>
        <w:trPr>
          <w:cantSplit/>
        </w:trPr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Dokumentacja zarządcza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25 min</w:t>
            </w:r>
          </w:p>
        </w:tc>
        <w:tc>
          <w:tcPr>
            <w:tcW w:type="pct" w:w="5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cele, oceny i notatki jako najczęstszy dowód, że krytyka była uzasadniona</w:t>
            </w:r>
          </w:p>
        </w:tc>
      </w:tr>
      <w:tr>
        <w:trPr>
          <w:cantSplit/>
        </w:trPr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Obowiązki kierownika po zgłoszeniu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20 min</w:t>
            </w:r>
          </w:p>
        </w:tc>
        <w:tc>
          <w:tcPr>
            <w:tcW w:type="pct" w:w="5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zakaz działań odwetowych, przekazanie sprawy, bezstronność</w:t>
            </w:r>
          </w:p>
        </w:tc>
      </w:tr>
      <w:tr>
        <w:trPr>
          <w:cantSplit/>
        </w:trPr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Roszczenia i regres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20 min</w:t>
            </w:r>
          </w:p>
        </w:tc>
        <w:tc>
          <w:tcPr>
            <w:tcW w:type="pct" w:w="5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progi zadośćuczynienia oraz roszczenie regresowe wobec sprawcy</w:t>
            </w:r>
          </w:p>
        </w:tc>
      </w:tr>
      <w:tr>
        <w:trPr>
          <w:cantSplit/>
        </w:trPr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Ćwiczenia na przypadkach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25 min</w:t>
            </w:r>
          </w:p>
        </w:tc>
        <w:tc>
          <w:tcPr>
            <w:tcW w:type="pct" w:w="5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ocena zachowań z pogranicza zarządzania i nękania na przykładach</w:t>
            </w:r>
          </w:p>
        </w:tc>
      </w:tr>
    </w:tbl>
    <w:p>
      <w:pPr>
        <w:keepNext/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Kwoty, które kadra kierownicza powinna znać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</w:tblGrid>
      <w:tr>
        <w:trPr>
          <w:cantSplit/>
          <w:tblHeader/>
        </w:trPr>
        <w:tc>
          <w:tcPr>
            <w:tcW w:type="pct" w:w="4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Roszczenie</w:t>
            </w:r>
          </w:p>
        </w:tc>
        <w:tc>
          <w:tcPr>
            <w:tcW w:type="pct" w:w="3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Dolny próg</w:t>
            </w:r>
          </w:p>
        </w:tc>
        <w:tc>
          <w:tcPr>
            <w:tcW w:type="pct" w:w="2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Kwota w 2026 r.</w:t>
            </w:r>
          </w:p>
        </w:tc>
      </w:tr>
      <w:tr>
        <w:trPr>
          <w:cantSplit/>
        </w:trPr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Zadośćuczynienie za mobbing</w:t>
            </w:r>
          </w:p>
        </w:tc>
        <w:tc>
          <w:tcPr>
            <w:tcW w:type="pct" w:w="3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sześciokrotność minimalnego wynagrodzenia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28 836 zł</w:t>
            </w:r>
          </w:p>
        </w:tc>
      </w:tr>
      <w:tr>
        <w:trPr>
          <w:cantSplit/>
        </w:trPr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Zadośćuczynienie za naruszenie równego traktowania</w:t>
            </w:r>
          </w:p>
        </w:tc>
        <w:tc>
          <w:tcPr>
            <w:tcW w:type="pct" w:w="3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minimalne wynagrodzenie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4806 zł</w:t>
            </w:r>
          </w:p>
        </w:tc>
      </w:tr>
      <w:tr>
        <w:trPr>
          <w:cantSplit/>
        </w:trPr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To samo przy naruszeniu wielokrotnym</w:t>
            </w:r>
          </w:p>
        </w:tc>
        <w:tc>
          <w:tcPr>
            <w:tcW w:type="pct" w:w="3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trzykrotność minimalnego wynagrodzenia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14 418 zł</w:t>
            </w:r>
          </w:p>
        </w:tc>
      </w:tr>
    </w:tbl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Kwoty są dolnymi progami zadośćuczynienia, a nie kwotami maksymalnymi ani należnymi z automatu. Zasądza je sąd po ustaleniu, że doszło do naruszenia.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Pracodawca, który wypłacił zadośćuczynienie lub odszkodowanie z tytułu mobbingu, może dochodzić od osoby, od której pochodziły zachowania, wyrównania poniesionej szkody w wysokości odpowiadającej stopniowi winy tej osoby i pracodawcy.</w:t>
      </w:r>
    </w:p>
    <w:p>
      <w:pPr>
        <w:keepNext/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Sprawdzenie rozumienia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Na koniec kierownik rozwiązuje krótkie ćwiczenie: ocenia dwa opisy zachowań i wskazuje, które mieści się w granicy uzasadnionej i właściwej formy krytyki, a które nie, oraz jak powinien zareagować po otrzymaniu zgłoszenia.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Sposób sprawdzenia rozumienia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art. 94(3) § 7, § 9, § 10, § 11 i § 12 oraz art. 18(3d) Kodeksu pracy</w:t>
      </w:r>
    </w:p>
    <w:p>
      <w:pPr>
        <w:spacing w:after="0" w:before="60"/>
      </w:pPr>
      <w:r>
        <w:rPr>
          <w:rFonts w:ascii="Calibri" w:cs="Calibri" w:eastAsia="Calibri" w:hAnsi="Calibri"/>
          <w:i/>
          <w:iCs/>
          <w:color w:val="595959"/>
          <w:sz w:val="13"/>
          <w:szCs w:val="13"/>
        </w:rPr>
        <w:t xml:space="preserve">Jedynym źródłem brzmienia przepisów przytoczonych we wzorze jest Dziennik Ustaw. Wzór nie zwalnia z obowiązku zapoznania się z tekstem ustawy ani z oceny, czy jest odpowiedni w danej sytuacji. Terminy dochodzenia roszczeń biegną niezależnie od postępowania wewnętrznego, więc przy każdej wątpliwości warto sięgnąć po pomoc pełnomocnika.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https://newproject360.pl/mobbing-w-pracy-ab/  |  wersja pakietu 1.2, stan prawny na dzień 3 września 2026 r.</w:t>
    </w:r>
  </w:p>
  <w:p>
    <w:pPr>
      <w:spacing w:before="40"/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Strona </w:t>
    </w:r>
    <w:r>
      <w:rPr>
        <w:rFonts w:ascii="Calibri" w:cs="Calibri" w:eastAsia="Calibri" w:hAnsi="Calibri"/>
        <w:color w:val="595959"/>
        <w:sz w:val="15"/>
        <w:szCs w:val="15"/>
      </w:rPr>
      <w:fldChar w:fldCharType="begin"/>
      <w:instrText xml:space="preserve">PAGE</w:instrText>
      <w:fldChar w:fldCharType="separate"/>
      <w:fldChar w:fldCharType="end"/>
    </w:r>
    <w:r>
      <w:rPr>
        <w:rFonts w:ascii="Calibri" w:cs="Calibri" w:eastAsia="Calibri" w:hAnsi="Calibri"/>
        <w:color w:val="595959"/>
        <w:sz w:val="15"/>
        <w:szCs w:val="15"/>
      </w:rPr>
      <w:t xml:space="preserve"> z </w:t>
    </w:r>
    <w:r>
      <w:rPr>
        <w:rFonts w:ascii="Calibri" w:cs="Calibri" w:eastAsia="Calibri" w:hAnsi="Calibri"/>
        <w:color w:val="595959"/>
        <w:sz w:val="15"/>
        <w:szCs w:val="15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Szkolenia Kadra Kierownicza</dc:title>
  <dc:creator>NEW PROJECT Andrzej Brzeziński</dc:creator>
  <dc:description>Pakiet dzialan prewencyjnych i szkolen w zakresie przeciwdzialania mobbingowi</dc:description>
  <cp:lastModifiedBy>Un-named</cp:lastModifiedBy>
  <cp:revision>1</cp:revision>
  <dcterms:created xsi:type="dcterms:W3CDTF">2026-09-03T19:41:43.864Z</dcterms:created>
  <dcterms:modified xsi:type="dcterms:W3CDTF">2026-09-03T19:41:43.864Z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