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center"/>
      </w:pPr>
      <w:r>
        <w:rPr>
          <w:rFonts w:ascii="Calibri" w:cs="Calibri" w:eastAsia="Calibri" w:hAnsi="Calibri"/>
          <w:b/>
          <w:bCs/>
          <w:color w:val="0F172A"/>
          <w:sz w:val="30"/>
          <w:szCs w:val="30"/>
        </w:rPr>
        <w:t xml:space="preserve">Regulamin przeciwdziałania mobbingowi, dyskryminacji i naruszaniu dóbr osobistych</w:t>
      </w:r>
    </w:p>
    <w:p>
      <w:pPr>
        <w:spacing w:after="260"/>
        <w:jc w:val="center"/>
      </w:pPr>
      <w:r>
        <w:rPr>
          <w:rFonts w:ascii="Calibri" w:cs="Calibri" w:eastAsia="Calibri" w:hAnsi="Calibri"/>
          <w:i/>
          <w:iCs/>
          <w:color w:val="595959"/>
          <w:sz w:val="20"/>
          <w:szCs w:val="20"/>
        </w:rPr>
        <w:t xml:space="preserve">Regulamin, o którym mowa w art. 94(3a) § 1 Kodeksu pracy</w:t>
      </w:r>
    </w:p>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Uzupełnij dane pracodawcy, ustal częstotliwość działań w rozdziale VI i przedstaw projekt stronie społecznej. Regulamin wolno wydać dopiero po uzgodnieniu albo po upływie 30 dni od dnia przedstawienia projektu.</w:t>
      </w:r>
    </w:p>
    <w:p>
      <w:pPr>
        <w:spacing w:after="160"/>
      </w:pPr>
      <w:r>
        <w:rPr>
          <w:rFonts w:ascii="Calibri" w:cs="Calibri" w:eastAsia="Calibri" w:hAnsi="Calibri"/>
          <w:color w:val="1F2937"/>
          <w:sz w:val="21"/>
          <w:szCs w:val="21"/>
        </w:rPr>
        <w:t xml:space="preserve">Pracodawca (nazwa, adres, NIP)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Data sporządzenia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Osoba odpowiedzialna </w:t>
      </w:r>
      <w:r>
        <w:rPr>
          <w:rFonts w:ascii="Calibri" w:cs="Calibri" w:eastAsia="Calibri" w:hAnsi="Calibri"/>
          <w:color w:val="595959"/>
          <w:sz w:val="21"/>
          <w:szCs w:val="21"/>
        </w:rPr>
        <w:t xml:space="preserve">.............................................</w:t>
      </w:r>
    </w:p>
    <w:p>
      <w:pPr>
        <w:keepNext/>
        <w:spacing w:after="120" w:before="260"/>
      </w:pPr>
      <w:r>
        <w:rPr>
          <w:rFonts w:ascii="Calibri" w:cs="Calibri" w:eastAsia="Calibri" w:hAnsi="Calibri"/>
          <w:b/>
          <w:bCs/>
          <w:color w:val="0F172A"/>
          <w:sz w:val="24"/>
          <w:szCs w:val="24"/>
        </w:rPr>
        <w:t xml:space="preserve">Rozdział I. Postanowienia ogólne</w:t>
      </w:r>
    </w:p>
    <w:p>
      <w:pPr>
        <w:spacing w:after="120"/>
        <w:jc w:val="both"/>
      </w:pPr>
      <w:r>
        <w:rPr>
          <w:rFonts w:ascii="Calibri" w:cs="Calibri" w:eastAsia="Calibri" w:hAnsi="Calibri"/>
          <w:b w:val="false"/>
          <w:bCs w:val="false"/>
          <w:i w:val="false"/>
          <w:iCs w:val="false"/>
          <w:color w:val="1F2937"/>
          <w:sz w:val="21"/>
          <w:szCs w:val="21"/>
        </w:rPr>
        <w:t xml:space="preserve">§ 1. Regulamin określa reguły, procedury oraz częstotliwość działań w obszarach przeciwdziałania naruszaniu godności oraz innych dóbr osobistych pracownika, przeciwdziałania naruszaniu zasady równego traktowania w zatrudnieniu, przeciwdziałania dyskryminacji oraz przeciwdziałania mobbingowi.</w:t>
      </w:r>
    </w:p>
    <w:p>
      <w:pPr>
        <w:spacing w:after="120"/>
        <w:jc w:val="both"/>
      </w:pPr>
      <w:r>
        <w:rPr>
          <w:rFonts w:ascii="Calibri" w:cs="Calibri" w:eastAsia="Calibri" w:hAnsi="Calibri"/>
          <w:b w:val="false"/>
          <w:bCs w:val="false"/>
          <w:i w:val="false"/>
          <w:iCs w:val="false"/>
          <w:color w:val="1F2937"/>
          <w:sz w:val="21"/>
          <w:szCs w:val="21"/>
        </w:rPr>
        <w:t xml:space="preserve">§ 2. Regulamin stosuje się do wszystkich pracowników oraz odpowiednio do osób wykonujących pracę na innej podstawie niż stosunek pracy, w zakresie, w jakim ich zachowania mogą stanowić mobbing wobec pracownika.</w:t>
      </w:r>
    </w:p>
    <w:p>
      <w:pPr>
        <w:spacing w:after="120"/>
        <w:jc w:val="both"/>
      </w:pPr>
      <w:r>
        <w:rPr>
          <w:rFonts w:ascii="Calibri" w:cs="Calibri" w:eastAsia="Calibri" w:hAnsi="Calibri"/>
          <w:b w:val="false"/>
          <w:bCs w:val="false"/>
          <w:i w:val="false"/>
          <w:iCs w:val="false"/>
          <w:color w:val="1F2937"/>
          <w:sz w:val="21"/>
          <w:szCs w:val="21"/>
        </w:rPr>
        <w:t xml:space="preserve">§ 3. Pracodawca jest obowiązany systematycznie przeciwdziałać mobbingowi oraz naruszaniu zasady równego traktowania w zatrudnieniu przez działania prewencyjne, wykrywanie naruszeń, właściwe reagowanie na nie, a także przez działania naprawcze i wsparcie osób dotkniętych.</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94(3) § 1, art. 18(3g) oraz art. 94(3a) Kodeksu pracy w brzmieniu nadanym ustawą z 19 czerwca 2026 r. o zmianie ustawy Kodeks pracy oraz ustawy Kodeks postępowania cywilnego (Dz. U. poz. 1046)</w:t>
      </w:r>
    </w:p>
    <w:p>
      <w:pPr>
        <w:keepNext/>
        <w:spacing w:after="120" w:before="260"/>
      </w:pPr>
      <w:r>
        <w:rPr>
          <w:rFonts w:ascii="Calibri" w:cs="Calibri" w:eastAsia="Calibri" w:hAnsi="Calibri"/>
          <w:b/>
          <w:bCs/>
          <w:color w:val="0F172A"/>
          <w:sz w:val="24"/>
          <w:szCs w:val="24"/>
        </w:rPr>
        <w:t xml:space="preserve">Rozdział II. Definicje</w:t>
      </w:r>
    </w:p>
    <w:p>
      <w:pPr>
        <w:spacing w:after="120"/>
        <w:jc w:val="both"/>
      </w:pPr>
      <w:r>
        <w:rPr>
          <w:rFonts w:ascii="Calibri" w:cs="Calibri" w:eastAsia="Calibri" w:hAnsi="Calibri"/>
          <w:b w:val="false"/>
          <w:bCs w:val="false"/>
          <w:i w:val="false"/>
          <w:iCs w:val="false"/>
          <w:color w:val="1F2937"/>
          <w:sz w:val="21"/>
          <w:szCs w:val="21"/>
        </w:rPr>
        <w:t xml:space="preserve">§ 4. Mobbing oznacza zachowania polegające na uporczywym nękaniu pracownika. Uporczywość nękania polega na tym, że jest ono powtarzalne, nawracające lub stałe. Mobbingiem nie są zachowania incydentalne, choćby stanowiły naruszenie dóbr osobistych pracownika.</w:t>
      </w:r>
    </w:p>
    <w:p>
      <w:pPr>
        <w:spacing w:after="120"/>
        <w:jc w:val="both"/>
      </w:pPr>
      <w:r>
        <w:rPr>
          <w:rFonts w:ascii="Calibri" w:cs="Calibri" w:eastAsia="Calibri" w:hAnsi="Calibri"/>
          <w:b w:val="false"/>
          <w:bCs w:val="false"/>
          <w:i w:val="false"/>
          <w:iCs w:val="false"/>
          <w:color w:val="1F2937"/>
          <w:sz w:val="21"/>
          <w:szCs w:val="21"/>
        </w:rPr>
        <w:t xml:space="preserve">§ 5. Przejawami mobbingu są, występujące samodzielnie lub łącznie, w szczególności:</w:t>
      </w:r>
    </w:p>
    <w:p>
      <w:pPr>
        <w:pStyle w:val="ListParagraph"/>
        <w:numPr>
          <w:ilvl w:val="0"/>
          <w:numId w:val="1"/>
        </w:numPr>
        <w:spacing w:after="80"/>
      </w:pPr>
      <w:r>
        <w:rPr>
          <w:rFonts w:ascii="Calibri" w:cs="Calibri" w:eastAsia="Calibri" w:hAnsi="Calibri"/>
          <w:color w:val="1F2937"/>
          <w:sz w:val="21"/>
          <w:szCs w:val="21"/>
        </w:rPr>
        <w:t xml:space="preserve">upokarzanie,</w:t>
      </w:r>
    </w:p>
    <w:p>
      <w:pPr>
        <w:pStyle w:val="ListParagraph"/>
        <w:numPr>
          <w:ilvl w:val="0"/>
          <w:numId w:val="1"/>
        </w:numPr>
        <w:spacing w:after="80"/>
      </w:pPr>
      <w:r>
        <w:rPr>
          <w:rFonts w:ascii="Calibri" w:cs="Calibri" w:eastAsia="Calibri" w:hAnsi="Calibri"/>
          <w:color w:val="1F2937"/>
          <w:sz w:val="21"/>
          <w:szCs w:val="21"/>
        </w:rPr>
        <w:t xml:space="preserve">uwłaczanie,</w:t>
      </w:r>
    </w:p>
    <w:p>
      <w:pPr>
        <w:pStyle w:val="ListParagraph"/>
        <w:numPr>
          <w:ilvl w:val="0"/>
          <w:numId w:val="1"/>
        </w:numPr>
        <w:spacing w:after="80"/>
      </w:pPr>
      <w:r>
        <w:rPr>
          <w:rFonts w:ascii="Calibri" w:cs="Calibri" w:eastAsia="Calibri" w:hAnsi="Calibri"/>
          <w:color w:val="1F2937"/>
          <w:sz w:val="21"/>
          <w:szCs w:val="21"/>
        </w:rPr>
        <w:t xml:space="preserve">zastraszanie,</w:t>
      </w:r>
    </w:p>
    <w:p>
      <w:pPr>
        <w:pStyle w:val="ListParagraph"/>
        <w:numPr>
          <w:ilvl w:val="0"/>
          <w:numId w:val="1"/>
        </w:numPr>
        <w:spacing w:after="80"/>
      </w:pPr>
      <w:r>
        <w:rPr>
          <w:rFonts w:ascii="Calibri" w:cs="Calibri" w:eastAsia="Calibri" w:hAnsi="Calibri"/>
          <w:color w:val="1F2937"/>
          <w:sz w:val="21"/>
          <w:szCs w:val="21"/>
        </w:rPr>
        <w:t xml:space="preserve">zaniżanie oceny przydatności zawodowej pracownika,</w:t>
      </w:r>
    </w:p>
    <w:p>
      <w:pPr>
        <w:pStyle w:val="ListParagraph"/>
        <w:numPr>
          <w:ilvl w:val="0"/>
          <w:numId w:val="1"/>
        </w:numPr>
        <w:spacing w:after="80"/>
      </w:pPr>
      <w:r>
        <w:rPr>
          <w:rFonts w:ascii="Calibri" w:cs="Calibri" w:eastAsia="Calibri" w:hAnsi="Calibri"/>
          <w:color w:val="1F2937"/>
          <w:sz w:val="21"/>
          <w:szCs w:val="21"/>
        </w:rPr>
        <w:t xml:space="preserve">nieuzasadniona krytyka, poniżanie lub ośmieszanie pracownika,</w:t>
      </w:r>
    </w:p>
    <w:p>
      <w:pPr>
        <w:pStyle w:val="ListParagraph"/>
        <w:numPr>
          <w:ilvl w:val="0"/>
          <w:numId w:val="1"/>
        </w:numPr>
        <w:spacing w:after="80"/>
      </w:pPr>
      <w:r>
        <w:rPr>
          <w:rFonts w:ascii="Calibri" w:cs="Calibri" w:eastAsia="Calibri" w:hAnsi="Calibri"/>
          <w:color w:val="1F2937"/>
          <w:sz w:val="21"/>
          <w:szCs w:val="21"/>
        </w:rPr>
        <w:t xml:space="preserve">utrudnianie funkcjonowania w środowisku pracy w zakresie możliwości osiągania efektów pracy, wykonywania zadań służbowych, wykorzystania posiadanych kompetencji, komunikacji ze współpracownikami lub dostępu do koniecznych informacji,</w:t>
      </w:r>
    </w:p>
    <w:p>
      <w:pPr>
        <w:pStyle w:val="ListParagraph"/>
        <w:numPr>
          <w:ilvl w:val="0"/>
          <w:numId w:val="1"/>
        </w:numPr>
        <w:spacing w:after="80"/>
      </w:pPr>
      <w:r>
        <w:rPr>
          <w:rFonts w:ascii="Calibri" w:cs="Calibri" w:eastAsia="Calibri" w:hAnsi="Calibri"/>
          <w:color w:val="1F2937"/>
          <w:sz w:val="21"/>
          <w:szCs w:val="21"/>
        </w:rPr>
        <w:t xml:space="preserve">izolowanie pracownika lub eliminowanie go z zespołu,</w:t>
      </w:r>
    </w:p>
    <w:p>
      <w:pPr>
        <w:spacing w:after="120"/>
        <w:jc w:val="both"/>
      </w:pPr>
      <w:r>
        <w:rPr>
          <w:rFonts w:ascii="Calibri" w:cs="Calibri" w:eastAsia="Calibri" w:hAnsi="Calibri"/>
          <w:b w:val="false"/>
          <w:bCs w:val="false"/>
          <w:i w:val="false"/>
          <w:iCs w:val="false"/>
          <w:color w:val="1F2937"/>
          <w:sz w:val="21"/>
          <w:szCs w:val="21"/>
        </w:rPr>
        <w:t xml:space="preserve">gdy przyjmują postać uporczywego nękania. Na zachowania te mogą składać się elementy fizyczne, werbalne lub pozawerbalne.</w:t>
      </w:r>
    </w:p>
    <w:p>
      <w:pPr>
        <w:spacing w:after="120"/>
        <w:jc w:val="both"/>
      </w:pPr>
      <w:r>
        <w:rPr>
          <w:rFonts w:ascii="Calibri" w:cs="Calibri" w:eastAsia="Calibri" w:hAnsi="Calibri"/>
          <w:b w:val="false"/>
          <w:bCs w:val="false"/>
          <w:i w:val="false"/>
          <w:iCs w:val="false"/>
          <w:color w:val="1F2937"/>
          <w:sz w:val="21"/>
          <w:szCs w:val="21"/>
        </w:rPr>
        <w:t xml:space="preserve">§ 6. Za mobbing uważa się także nakazanie podejmowania takich zachowań lub zachęcanie do nich, a także zachowania, choćby ich celem nie było uporczywe nękanie.</w:t>
      </w:r>
    </w:p>
    <w:p>
      <w:pPr>
        <w:spacing w:after="120"/>
        <w:jc w:val="both"/>
      </w:pPr>
      <w:r>
        <w:rPr>
          <w:rFonts w:ascii="Calibri" w:cs="Calibri" w:eastAsia="Calibri" w:hAnsi="Calibri"/>
          <w:b w:val="false"/>
          <w:bCs w:val="false"/>
          <w:i w:val="false"/>
          <w:iCs w:val="false"/>
          <w:color w:val="1F2937"/>
          <w:sz w:val="21"/>
          <w:szCs w:val="21"/>
        </w:rPr>
        <w:t xml:space="preserve">§ 7. Zachowania stanowiące mobbing mogą pochodzić w szczególności od pracodawcy, przełożonego, osoby zajmującej równorzędne stanowisko, podwładnego, innego pracownika oraz osób wykonujących pracę na innej podstawie niż stosunek pracy, zarówno od pojedynczej osoby, jak i grupy osób.</w:t>
      </w:r>
    </w:p>
    <w:p>
      <w:pPr>
        <w:spacing w:after="120"/>
        <w:jc w:val="both"/>
      </w:pPr>
      <w:r>
        <w:rPr>
          <w:rFonts w:ascii="Calibri" w:cs="Calibri" w:eastAsia="Calibri" w:hAnsi="Calibri"/>
          <w:b w:val="false"/>
          <w:bCs w:val="false"/>
          <w:i w:val="false"/>
          <w:iCs w:val="false"/>
          <w:color w:val="1F2937"/>
          <w:sz w:val="21"/>
          <w:szCs w:val="21"/>
        </w:rPr>
        <w:t xml:space="preserve">§ 8. Za mobbing nie mogą być uznane uzasadnione i wyrażone we właściwej formie zachowania wobec pracownika, w szczególności rozliczanie z powierzonej pracy lub jej krytyka. Ocena, czy doszło do mobbingu, ma charakter zindywidualizowany i uwzględnia okoliczności konkretnego przypadku zarówno co do rodzaju zachowań, jak i sytuacji pracownika.</w:t>
      </w:r>
    </w:p>
    <w:p>
      <w:pPr>
        <w:spacing w:after="120"/>
        <w:jc w:val="both"/>
      </w:pPr>
      <w:r>
        <w:rPr>
          <w:rFonts w:ascii="Calibri" w:cs="Calibri" w:eastAsia="Calibri" w:hAnsi="Calibri"/>
          <w:b w:val="false"/>
          <w:bCs w:val="false"/>
          <w:i w:val="false"/>
          <w:iCs w:val="false"/>
          <w:color w:val="1F2937"/>
          <w:sz w:val="21"/>
          <w:szCs w:val="21"/>
        </w:rPr>
        <w:t xml:space="preserve">§ 9. Naruszeniem zasady równego traktowania w zatrudnieniu jest niedopuszczalne różnicowanie sytuacji pracownika z przyczyn określonych w art. 18(3a) § 1 Kodeksu pracy, w tym dyskryminacja bezpośrednia i pośrednia, molestowanie, molestowanie seksualne, dyskryminacja przez założenie oraz dyskryminacja przez skojarzenie.</w:t>
      </w:r>
    </w:p>
    <w:p>
      <w:pPr>
        <w:spacing w:after="120"/>
        <w:jc w:val="both"/>
      </w:pPr>
      <w:r>
        <w:rPr>
          <w:rFonts w:ascii="Calibri" w:cs="Calibri" w:eastAsia="Calibri" w:hAnsi="Calibri"/>
          <w:b w:val="false"/>
          <w:bCs w:val="false"/>
          <w:i w:val="false"/>
          <w:iCs w:val="false"/>
          <w:color w:val="1F2937"/>
          <w:sz w:val="21"/>
          <w:szCs w:val="21"/>
        </w:rPr>
        <w:t xml:space="preserve">§ 9a. Regulamin obejmuje obszary, które ustawa wymienia obok siebie, choć częściowo się pokrywają. Naruszenie zasady równego traktowania w zatrudnieniu polega na dyskryminacji, czyli na różnicowaniu sytuacji pracownika z przyczyny wskazanej w art. 18(3a) § 1 Kodeksu pracy; jej postaciami są dyskryminacja bezpośrednia i pośrednia oraz molestowanie i molestowanie seksualne. Naruszenie równego traktowania i dyskryminacja to zatem ten sam obszar ujęty z dwóch stron, a nie dwa rozłączne zdarzenia. Naruszenie godności lub innych dóbr osobistych może wystąpić bez związku z cechą chronioną i bez cechy uporczywości. Mobbing to uporczywe nękanie, niezależne od cechy chronionej. Jedno zachowanie może naruszać kilka obszarów naraz; wtedy ocenia się każdy z osobna, a kwalifikacje mogą się nakładać.</w:t>
      </w:r>
    </w:p>
    <w:p>
      <w:pPr>
        <w:spacing w:after="120"/>
        <w:jc w:val="both"/>
      </w:pPr>
      <w:r>
        <w:rPr>
          <w:rFonts w:ascii="Calibri" w:cs="Calibri" w:eastAsia="Calibri" w:hAnsi="Calibri"/>
          <w:b w:val="false"/>
          <w:bCs w:val="false"/>
          <w:i w:val="false"/>
          <w:iCs w:val="false"/>
          <w:color w:val="1F2937"/>
          <w:sz w:val="21"/>
          <w:szCs w:val="21"/>
        </w:rPr>
        <w:t xml:space="preserve">§ 9b. Pojedyncze zachowanie naruszające godność pracownika, choćby nie było mobbingiem, podlega rozpoznaniu i właściwej reakcji. Ustalenie, że nie doszło do mobbingu, nie kończy sprawy, jeżeli doszło do naruszenia dóbr osobistych albo zasady równego traktowania. Każdy z tych obszarów ocenia się osobno, a wynik postępowania wskazuje ustalenie dla każdego z nich.</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94(3) § 2 do § 10, art. 18(3a), art. 94 pkt 2c oraz art. 11(1) Kodeksu pracy</w:t>
      </w:r>
    </w:p>
    <w:p>
      <w:pPr>
        <w:keepNext/>
        <w:spacing w:after="120" w:before="260"/>
      </w:pPr>
      <w:r>
        <w:rPr>
          <w:rFonts w:ascii="Calibri" w:cs="Calibri" w:eastAsia="Calibri" w:hAnsi="Calibri"/>
          <w:b/>
          <w:bCs/>
          <w:color w:val="0F172A"/>
          <w:sz w:val="24"/>
          <w:szCs w:val="24"/>
        </w:rPr>
        <w:t xml:space="preserve">Rozdział III. Zgłoszenie</w:t>
      </w:r>
    </w:p>
    <w:p>
      <w:pPr>
        <w:spacing w:after="120"/>
        <w:jc w:val="both"/>
      </w:pPr>
      <w:r>
        <w:rPr>
          <w:rFonts w:ascii="Calibri" w:cs="Calibri" w:eastAsia="Calibri" w:hAnsi="Calibri"/>
          <w:b w:val="false"/>
          <w:bCs w:val="false"/>
          <w:i w:val="false"/>
          <w:iCs w:val="false"/>
          <w:color w:val="1F2937"/>
          <w:sz w:val="21"/>
          <w:szCs w:val="21"/>
        </w:rPr>
        <w:t xml:space="preserve">§ 10. Zgłoszenia można dokonać pisemnie, na adres poczty elektronicznej wskazany w § 11, a także ustnie do protokołu.</w:t>
      </w:r>
    </w:p>
    <w:p>
      <w:pPr>
        <w:spacing w:after="160"/>
      </w:pPr>
      <w:r>
        <w:rPr>
          <w:rFonts w:ascii="Calibri" w:cs="Calibri" w:eastAsia="Calibri" w:hAnsi="Calibri"/>
          <w:color w:val="1F2937"/>
          <w:sz w:val="21"/>
          <w:szCs w:val="21"/>
        </w:rPr>
        <w:t xml:space="preserve">Osoba przyjmująca zgłoszenia (imię, nazwisko, stanowisko)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Adres poczty elektronicznej do zgłoszeń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Osoba przyjmująca zgłoszenia, gdy zgłoszenie dotyczy osoby wskazanej wyżej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Druga osoba zastępująca, gdy zgłoszenie dotyczy również pierwszej </w:t>
      </w:r>
      <w:r>
        <w:rPr>
          <w:rFonts w:ascii="Calibri" w:cs="Calibri" w:eastAsia="Calibri" w:hAnsi="Calibri"/>
          <w:color w:val="595959"/>
          <w:sz w:val="21"/>
          <w:szCs w:val="21"/>
        </w:rPr>
        <w:t xml:space="preserve">........................................</w:t>
      </w:r>
    </w:p>
    <w:p>
      <w:pPr>
        <w:spacing w:after="120"/>
        <w:jc w:val="both"/>
      </w:pPr>
      <w:r>
        <w:rPr>
          <w:rFonts w:ascii="Calibri" w:cs="Calibri" w:eastAsia="Calibri" w:hAnsi="Calibri"/>
          <w:b w:val="false"/>
          <w:bCs w:val="false"/>
          <w:i w:val="false"/>
          <w:iCs w:val="false"/>
          <w:color w:val="1F2937"/>
          <w:sz w:val="21"/>
          <w:szCs w:val="21"/>
        </w:rPr>
        <w:t xml:space="preserve">§ 11. Jeżeli zgłoszenie dotyczy osoby wskazanej jako przyjmująca zgłoszenia, bezpośredniego przełożonego zgłaszającego albo pracodawcy, zgłoszenie kieruje się do osoby wskazanej jako zastępująca. Droga ta jest zawsze dostępna i nie wymaga uzasadnienia.</w:t>
      </w:r>
    </w:p>
    <w:p>
      <w:pPr>
        <w:spacing w:after="120"/>
        <w:jc w:val="both"/>
      </w:pPr>
      <w:r>
        <w:rPr>
          <w:rFonts w:ascii="Calibri" w:cs="Calibri" w:eastAsia="Calibri" w:hAnsi="Calibri"/>
          <w:b w:val="false"/>
          <w:bCs w:val="false"/>
          <w:i w:val="false"/>
          <w:iCs w:val="false"/>
          <w:color w:val="1F2937"/>
          <w:sz w:val="21"/>
          <w:szCs w:val="21"/>
        </w:rPr>
        <w:t xml:space="preserve">§ 12. Zgłoszenie powinno zawierać opis zachowań, wskazanie osób, których dotyczy, oraz okresu, w którym występowały. Zgłaszający może wskazać świadków i dołączyć dokumenty.</w:t>
      </w:r>
    </w:p>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Wskazanie osoby zastępującej jest konieczne, bo art. 94(3) § 8 Kodeksu pracy wymienia pracodawcę i przełożonego wśród możliwych źródeł mobbingu.</w:t>
      </w:r>
    </w:p>
    <w:p>
      <w:pPr>
        <w:spacing w:after="120"/>
        <w:jc w:val="both"/>
      </w:pPr>
      <w:r>
        <w:rPr>
          <w:rFonts w:ascii="Calibri" w:cs="Calibri" w:eastAsia="Calibri" w:hAnsi="Calibri"/>
          <w:b w:val="false"/>
          <w:bCs w:val="false"/>
          <w:i w:val="false"/>
          <w:iCs w:val="false"/>
          <w:color w:val="1F2937"/>
          <w:sz w:val="21"/>
          <w:szCs w:val="21"/>
        </w:rPr>
        <w:t xml:space="preserve">§ 12a. Sygnały niepasujące do formularza. Reakcji wymaga także sygnał, który nie ma postaci kompletnego zgłoszenia. Zgłoszenie anonimowe bada się w zakresie, w jakim jest weryfikowalne. Przy zgłoszeniu niepełnym prosi się o uzupełnienie, a gdy nie jest to możliwe, bada się dostępne informacje i dokumentuje brak możliwości dalszych ustaleń. Wycofanie zgłoszenia nie usuwa wiedzy pracodawcy o zachowaniu ani nie zwalnia go z reakcji. Pracodawca wszczyna postępowanie także z własnej inicjatywy, gdy poweźmie informację o możliwym naruszeniu, w tym od świadka. Brak podpisu lub adresu zwrotnego nie wyłącza reakcji na konkretne zagrożenie.</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94(3) § 1 Kodeksu pracy w zakresie wykrywania mobbingu</w:t>
      </w:r>
    </w:p>
    <w:p>
      <w:pPr>
        <w:keepNext/>
        <w:spacing w:after="120" w:before="260"/>
      </w:pPr>
      <w:r>
        <w:rPr>
          <w:rFonts w:ascii="Calibri" w:cs="Calibri" w:eastAsia="Calibri" w:hAnsi="Calibri"/>
          <w:b/>
          <w:bCs/>
          <w:color w:val="0F172A"/>
          <w:sz w:val="24"/>
          <w:szCs w:val="24"/>
        </w:rPr>
        <w:t xml:space="preserve">Rozdział IV. Postępowanie wyjaśniające</w:t>
      </w:r>
    </w:p>
    <w:p>
      <w:pPr>
        <w:spacing w:after="120"/>
        <w:jc w:val="both"/>
      </w:pPr>
      <w:r>
        <w:rPr>
          <w:rFonts w:ascii="Calibri" w:cs="Calibri" w:eastAsia="Calibri" w:hAnsi="Calibri"/>
          <w:b w:val="false"/>
          <w:bCs w:val="false"/>
          <w:i w:val="false"/>
          <w:iCs w:val="false"/>
          <w:color w:val="1F2937"/>
          <w:sz w:val="21"/>
          <w:szCs w:val="21"/>
        </w:rPr>
        <w:t xml:space="preserve">§ 13. Przyjęcie zgłoszenia potwierdza się zgłaszającemu na piśmie w terminie 3 dni roboczych, wraz z pouczeniem o zakazie działań odwetowych.</w:t>
      </w:r>
    </w:p>
    <w:p>
      <w:pPr>
        <w:spacing w:after="120"/>
        <w:jc w:val="both"/>
      </w:pPr>
      <w:r>
        <w:rPr>
          <w:rFonts w:ascii="Calibri" w:cs="Calibri" w:eastAsia="Calibri" w:hAnsi="Calibri"/>
          <w:b w:val="false"/>
          <w:bCs w:val="false"/>
          <w:i w:val="false"/>
          <w:iCs w:val="false"/>
          <w:color w:val="1F2937"/>
          <w:sz w:val="21"/>
          <w:szCs w:val="21"/>
        </w:rPr>
        <w:t xml:space="preserve">§ 14. Pracodawca powołuje zespół wyjaśniający złożony z osób bezstronnych wobec obu stron. Członkowie zespołu składają oświadczenie o bezstronności i poufności. Sposób prowadzenia sprawy, która dotyczy pracodawcy, osoby zarządzającej albo osoby przyjmującej zgłoszenia, określa Rozdział IV a; w takiej sprawie sam zakaz udziału osoby podległej nie może wykluczać całego składu, dlatego dopuszcza się prowadzącego z zewnątrz.</w:t>
      </w:r>
    </w:p>
    <w:p>
      <w:pPr>
        <w:spacing w:after="120"/>
        <w:jc w:val="both"/>
      </w:pPr>
      <w:r>
        <w:rPr>
          <w:rFonts w:ascii="Calibri" w:cs="Calibri" w:eastAsia="Calibri" w:hAnsi="Calibri"/>
          <w:b w:val="false"/>
          <w:bCs w:val="false"/>
          <w:i w:val="false"/>
          <w:iCs w:val="false"/>
          <w:color w:val="1F2937"/>
          <w:sz w:val="21"/>
          <w:szCs w:val="21"/>
        </w:rPr>
        <w:t xml:space="preserve">§ 15. Zespół wysłuchuje zgłaszającego, osobę, której zgłoszenie dotyczy, oraz wskazanych świadków. Z każdego wysłuchania sporządza się protokół. Osoba, której zgłoszenie dotyczy, ma prawo znać zarzuty i się do nich odnieść.</w:t>
      </w:r>
    </w:p>
    <w:p>
      <w:pPr>
        <w:spacing w:after="120"/>
        <w:jc w:val="both"/>
      </w:pPr>
      <w:r>
        <w:rPr>
          <w:rFonts w:ascii="Calibri" w:cs="Calibri" w:eastAsia="Calibri" w:hAnsi="Calibri"/>
          <w:b w:val="false"/>
          <w:bCs w:val="false"/>
          <w:i w:val="false"/>
          <w:iCs w:val="false"/>
          <w:color w:val="1F2937"/>
          <w:sz w:val="21"/>
          <w:szCs w:val="21"/>
        </w:rPr>
        <w:t xml:space="preserve">§ 16. Postępowanie kończy się raportem zespołu z ustaleniami faktycznymi i rekomendacjami. Decyzję podejmuje pracodawca na piśmie, z ustaleniem dla każdego z obszarów objętych zgłoszeniem, wskazując działania naprawcze oraz wsparcie oferowane osobie dotkniętej.</w:t>
      </w:r>
    </w:p>
    <w:p>
      <w:pPr>
        <w:spacing w:after="120"/>
        <w:jc w:val="both"/>
      </w:pPr>
      <w:r>
        <w:rPr>
          <w:rFonts w:ascii="Calibri" w:cs="Calibri" w:eastAsia="Calibri" w:hAnsi="Calibri"/>
          <w:b w:val="false"/>
          <w:bCs w:val="false"/>
          <w:i w:val="false"/>
          <w:iCs w:val="false"/>
          <w:color w:val="1F2937"/>
          <w:sz w:val="21"/>
          <w:szCs w:val="21"/>
        </w:rPr>
        <w:t xml:space="preserve">§ 16a. Terminy postępowania. Pracodawca prowadzi sprawę bez zbędnej zwłoki, według następujących terminów organizacyjnych, liczonych od potwierdzenia przyjęcia zgłoszenia:</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cantSplit/>
          <w:tblHeader/>
        </w:trPr>
        <w:tc>
          <w:tcPr>
            <w:tcW w:type="pct" w:w="45%"/>
            <w:shd w:fill="0F172A"/>
          </w:tcPr>
          <w:p>
            <w:pPr>
              <w:jc w:val="left"/>
            </w:pPr>
            <w:r>
              <w:rPr>
                <w:rFonts w:ascii="Calibri" w:cs="Calibri" w:eastAsia="Calibri" w:hAnsi="Calibri"/>
                <w:b/>
                <w:bCs/>
                <w:color w:val="FFFFFF"/>
                <w:sz w:val="19"/>
                <w:szCs w:val="19"/>
              </w:rPr>
              <w:t xml:space="preserve">Etap</w:t>
            </w:r>
          </w:p>
        </w:tc>
        <w:tc>
          <w:tcPr>
            <w:tcW w:type="pct" w:w="30%"/>
            <w:shd w:fill="0F172A"/>
          </w:tcPr>
          <w:p>
            <w:pPr>
              <w:jc w:val="left"/>
            </w:pPr>
            <w:r>
              <w:rPr>
                <w:rFonts w:ascii="Calibri" w:cs="Calibri" w:eastAsia="Calibri" w:hAnsi="Calibri"/>
                <w:b/>
                <w:bCs/>
                <w:color w:val="FFFFFF"/>
                <w:sz w:val="19"/>
                <w:szCs w:val="19"/>
              </w:rPr>
              <w:t xml:space="preserve">Termin proponowany</w:t>
            </w:r>
          </w:p>
        </w:tc>
        <w:tc>
          <w:tcPr>
            <w:tcW w:type="pct" w:w="25%"/>
            <w:shd w:fill="0F172A"/>
          </w:tcPr>
          <w:p>
            <w:pPr>
              <w:jc w:val="left"/>
            </w:pPr>
            <w:r>
              <w:rPr>
                <w:rFonts w:ascii="Calibri" w:cs="Calibri" w:eastAsia="Calibri" w:hAnsi="Calibri"/>
                <w:b/>
                <w:bCs/>
                <w:color w:val="FFFFFF"/>
                <w:sz w:val="19"/>
                <w:szCs w:val="19"/>
              </w:rPr>
              <w:t xml:space="preserve">Kto pilnuje terminu</w:t>
            </w:r>
          </w:p>
        </w:tc>
      </w:tr>
      <w:tr>
        <w:trPr>
          <w:cantSplit/>
        </w:trPr>
        <w:tc>
          <w:tcPr>
            <w:tcW w:type="pct" w:w="45%"/>
          </w:tcPr>
          <w:p>
            <w:pPr>
              <w:jc w:val="left"/>
            </w:pPr>
            <w:r>
              <w:rPr>
                <w:rFonts w:ascii="Calibri" w:cs="Calibri" w:eastAsia="Calibri" w:hAnsi="Calibri"/>
                <w:b w:val="false"/>
                <w:bCs w:val="false"/>
                <w:color w:val="1F2937"/>
                <w:sz w:val="19"/>
                <w:szCs w:val="19"/>
              </w:rPr>
              <w:t xml:space="preserve">Powołanie zespołu</w:t>
            </w:r>
          </w:p>
        </w:tc>
        <w:tc>
          <w:tcPr>
            <w:tcW w:type="pct" w:w="30%"/>
          </w:tcPr>
          <w:p>
            <w:pPr>
              <w:jc w:val="left"/>
            </w:pPr>
            <w:r>
              <w:rPr>
                <w:rFonts w:ascii="Calibri" w:cs="Calibri" w:eastAsia="Calibri" w:hAnsi="Calibri"/>
                <w:b w:val="false"/>
                <w:bCs w:val="false"/>
                <w:color w:val="1F2937"/>
                <w:sz w:val="19"/>
                <w:szCs w:val="19"/>
              </w:rPr>
              <w:t xml:space="preserve">7 dni</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Zakończenie badania i raport</w:t>
            </w:r>
          </w:p>
        </w:tc>
        <w:tc>
          <w:tcPr>
            <w:tcW w:type="pct" w:w="30%"/>
          </w:tcPr>
          <w:p>
            <w:pPr>
              <w:jc w:val="left"/>
            </w:pPr>
            <w:r>
              <w:rPr>
                <w:rFonts w:ascii="Calibri" w:cs="Calibri" w:eastAsia="Calibri" w:hAnsi="Calibri"/>
                <w:b w:val="false"/>
                <w:bCs w:val="false"/>
                <w:color w:val="1F2937"/>
                <w:sz w:val="19"/>
                <w:szCs w:val="19"/>
              </w:rPr>
              <w:t xml:space="preserve">30 dni</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Decyzja pracodawcy</w:t>
            </w:r>
          </w:p>
        </w:tc>
        <w:tc>
          <w:tcPr>
            <w:tcW w:type="pct" w:w="30%"/>
          </w:tcPr>
          <w:p>
            <w:pPr>
              <w:jc w:val="left"/>
            </w:pPr>
            <w:r>
              <w:rPr>
                <w:rFonts w:ascii="Calibri" w:cs="Calibri" w:eastAsia="Calibri" w:hAnsi="Calibri"/>
                <w:b w:val="false"/>
                <w:bCs w:val="false"/>
                <w:color w:val="1F2937"/>
                <w:sz w:val="19"/>
                <w:szCs w:val="19"/>
              </w:rPr>
              <w:t xml:space="preserve">7 dni od raportu</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Informacja zwrotna dla zgłaszającego</w:t>
            </w:r>
          </w:p>
        </w:tc>
        <w:tc>
          <w:tcPr>
            <w:tcW w:type="pct" w:w="30%"/>
          </w:tcPr>
          <w:p>
            <w:pPr>
              <w:jc w:val="left"/>
            </w:pPr>
            <w:r>
              <w:rPr>
                <w:rFonts w:ascii="Calibri" w:cs="Calibri" w:eastAsia="Calibri" w:hAnsi="Calibri"/>
                <w:b w:val="false"/>
                <w:bCs w:val="false"/>
                <w:color w:val="1F2937"/>
                <w:sz w:val="19"/>
                <w:szCs w:val="19"/>
              </w:rPr>
              <w:t xml:space="preserve">7 dni od decyzji</w:t>
            </w:r>
          </w:p>
        </w:tc>
        <w:tc>
          <w:tcPr>
            <w:tcW w:type="pct" w:w="25%"/>
          </w:tcPr>
          <w:p>
            <w:pPr>
              <w:jc w:val="left"/>
            </w:pPr>
            <w:r>
              <w:rPr>
                <w:rFonts w:ascii="Calibri" w:cs="Calibri" w:eastAsia="Calibri" w:hAnsi="Calibri"/>
                <w:b w:val="false"/>
                <w:bCs w:val="false"/>
                <w:color w:val="1F2937"/>
                <w:sz w:val="19"/>
                <w:szCs w:val="19"/>
              </w:rPr>
              <w:t xml:space="preserve"> </w:t>
            </w:r>
          </w:p>
        </w:tc>
      </w:tr>
    </w:tbl>
    <w:p>
      <w:pPr>
        <w:spacing w:after="120"/>
        <w:jc w:val="both"/>
      </w:pPr>
      <w:r>
        <w:rPr>
          <w:rFonts w:ascii="Calibri" w:cs="Calibri" w:eastAsia="Calibri" w:hAnsi="Calibri"/>
          <w:b w:val="false"/>
          <w:bCs w:val="false"/>
          <w:i w:val="false"/>
          <w:iCs w:val="false"/>
          <w:color w:val="1F2937"/>
          <w:sz w:val="21"/>
          <w:szCs w:val="21"/>
        </w:rPr>
        <w:t xml:space="preserve">Terminy te są wyborem procedury, a nie terminami ustawowymi z nowelizacji; ustawa nie określa czasu trwania postępowania wewnętrznego. Przekroczenie terminu wymaga pisemnego uzasadnienia i wskazania nowego terminu, o czym zawiadamia się zgłaszającego oraz osobę, której zgłoszenie dotyczy. Te same daty prowadzi się w rejestrze zgłoszeń, żeby dokumenty i arkusz podawały jeden stan sprawy.</w:t>
      </w:r>
    </w:p>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Wpisz własne wartości albo zostaw proponowane. Ostatnia kolumna wskazuje osobę odpowiedzialną za dotrzymanie terminu i aktualizację statusu sprawy.</w:t>
      </w:r>
    </w:p>
    <w:p>
      <w:pPr>
        <w:spacing w:after="120"/>
        <w:jc w:val="both"/>
      </w:pPr>
      <w:r>
        <w:rPr>
          <w:rFonts w:ascii="Calibri" w:cs="Calibri" w:eastAsia="Calibri" w:hAnsi="Calibri"/>
          <w:b w:val="false"/>
          <w:bCs w:val="false"/>
          <w:i w:val="false"/>
          <w:iCs w:val="false"/>
          <w:color w:val="1F2937"/>
          <w:sz w:val="21"/>
          <w:szCs w:val="21"/>
        </w:rPr>
        <w:t xml:space="preserve">§ 17. W postępowaniu dotyczącym naruszenia zasady równego traktowania w zatrudnieniu zgłaszający uprawdopodobnia fakt naruszenia, a pracodawca wykazuje, że do naruszenia nie doszło. Reguły tej nie stosuje się do samego zarzutu mobbingu, w którym ciężar dowodu rozkłada się na zasadach ogólnych.</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18(3f) § 1 i § 2 Kodeksu pracy, obejmujący także postępowania prowadzone na podstawie przepisów obowiązujących u pracodawcy</w:t>
      </w:r>
    </w:p>
    <w:p>
      <w:pPr>
        <w:keepNext/>
        <w:spacing w:after="120" w:before="260"/>
      </w:pPr>
      <w:r>
        <w:rPr>
          <w:rFonts w:ascii="Calibri" w:cs="Calibri" w:eastAsia="Calibri" w:hAnsi="Calibri"/>
          <w:b/>
          <w:bCs/>
          <w:color w:val="0F172A"/>
          <w:sz w:val="24"/>
          <w:szCs w:val="24"/>
        </w:rPr>
        <w:t xml:space="preserve">Rozdział IV a. Sprawa dotycząca pracodawcy, osoby zarządzającej albo osoby przyjmującej zgłoszenia</w:t>
      </w:r>
    </w:p>
    <w:p>
      <w:pPr>
        <w:spacing w:after="120"/>
        <w:jc w:val="both"/>
      </w:pPr>
      <w:r>
        <w:rPr>
          <w:rFonts w:ascii="Calibri" w:cs="Calibri" w:eastAsia="Calibri" w:hAnsi="Calibri"/>
          <w:b w:val="false"/>
          <w:bCs w:val="false"/>
          <w:i w:val="false"/>
          <w:iCs w:val="false"/>
          <w:color w:val="1F2937"/>
          <w:sz w:val="21"/>
          <w:szCs w:val="21"/>
        </w:rPr>
        <w:t xml:space="preserve">§ 17a. Jeżeli zgłoszenie dotyczy osoby przyjmującej zgłoszenia albo bezpośredniego przełożonego zgłaszającego, sprawę przejmuje osoba wskazana w § 10 jako zastępująca. Jeżeli zgłoszenie dotyczy również tej osoby, czynności przyjmowania zgłoszeń i prowadzenia sprawy przejmuje druga osoba zastępująca wskazana w § 10, a gdy i to nie wystarcza, prowadzący z zewnątrz.</w:t>
      </w:r>
    </w:p>
    <w:p>
      <w:pPr>
        <w:spacing w:after="120"/>
        <w:jc w:val="both"/>
      </w:pPr>
      <w:r>
        <w:rPr>
          <w:rFonts w:ascii="Calibri" w:cs="Calibri" w:eastAsia="Calibri" w:hAnsi="Calibri"/>
          <w:b w:val="false"/>
          <w:bCs w:val="false"/>
          <w:i w:val="false"/>
          <w:iCs w:val="false"/>
          <w:color w:val="1F2937"/>
          <w:sz w:val="21"/>
          <w:szCs w:val="21"/>
        </w:rPr>
        <w:t xml:space="preserve">§ 17b. Jeżeli zgłoszenie dotyczy pracodawcy albo osoby zarządzającej, czynności pracodawcy w postępowaniu, to jest powołanie prowadzącego, udostępnienie materiałów i podjęcie decyzji, wykonuje osoba lub organ umocowany odpowiednio do formy prawnej pracodawcy, wskazany z góry:</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tblGrid>
      <w:tr>
        <w:trPr>
          <w:cantSplit/>
          <w:tblHeader/>
        </w:trPr>
        <w:tc>
          <w:tcPr>
            <w:tcW w:type="pct" w:w="42%"/>
            <w:shd w:fill="0F172A"/>
          </w:tcPr>
          <w:p>
            <w:pPr>
              <w:jc w:val="left"/>
            </w:pPr>
            <w:r>
              <w:rPr>
                <w:rFonts w:ascii="Calibri" w:cs="Calibri" w:eastAsia="Calibri" w:hAnsi="Calibri"/>
                <w:b/>
                <w:bCs/>
                <w:color w:val="FFFFFF"/>
                <w:sz w:val="19"/>
                <w:szCs w:val="19"/>
              </w:rPr>
              <w:t xml:space="preserve">Forma prawna pracodawcy</w:t>
            </w:r>
          </w:p>
        </w:tc>
        <w:tc>
          <w:tcPr>
            <w:tcW w:type="pct" w:w="58%"/>
            <w:shd w:fill="0F172A"/>
          </w:tcPr>
          <w:p>
            <w:pPr>
              <w:jc w:val="left"/>
            </w:pPr>
            <w:r>
              <w:rPr>
                <w:rFonts w:ascii="Calibri" w:cs="Calibri" w:eastAsia="Calibri" w:hAnsi="Calibri"/>
                <w:b/>
                <w:bCs/>
                <w:color w:val="FFFFFF"/>
                <w:sz w:val="19"/>
                <w:szCs w:val="19"/>
              </w:rPr>
              <w:t xml:space="preserve">Kto wykonuje czynności pracodawcy w takiej sprawie</w:t>
            </w:r>
          </w:p>
        </w:tc>
      </w:tr>
      <w:tr>
        <w:trPr>
          <w:cantSplit/>
        </w:trPr>
        <w:tc>
          <w:tcPr>
            <w:tcW w:type="pct" w:w="42%"/>
          </w:tcPr>
          <w:p>
            <w:pPr>
              <w:jc w:val="left"/>
            </w:pPr>
            <w:r>
              <w:rPr>
                <w:rFonts w:ascii="Calibri" w:cs="Calibri" w:eastAsia="Calibri" w:hAnsi="Calibri"/>
                <w:b w:val="false"/>
                <w:bCs w:val="false"/>
                <w:color w:val="1F2937"/>
                <w:sz w:val="19"/>
                <w:szCs w:val="19"/>
              </w:rPr>
              <w:t xml:space="preserve"> </w:t>
            </w:r>
          </w:p>
        </w:tc>
        <w:tc>
          <w:tcPr>
            <w:tcW w:type="pct" w:w="58%"/>
          </w:tcPr>
          <w:p>
            <w:pPr>
              <w:jc w:val="left"/>
            </w:pPr>
            <w:r>
              <w:rPr>
                <w:rFonts w:ascii="Calibri" w:cs="Calibri" w:eastAsia="Calibri" w:hAnsi="Calibri"/>
                <w:b w:val="false"/>
                <w:bCs w:val="false"/>
                <w:color w:val="1F2937"/>
                <w:sz w:val="19"/>
                <w:szCs w:val="19"/>
              </w:rPr>
              <w:t xml:space="preserve"> </w:t>
            </w:r>
          </w:p>
        </w:tc>
      </w:tr>
      <w:tr>
        <w:trPr>
          <w:cantSplit/>
        </w:trPr>
        <w:tc>
          <w:tcPr>
            <w:tcW w:type="pct" w:w="42%"/>
          </w:tcPr>
          <w:p>
            <w:pPr>
              <w:jc w:val="left"/>
            </w:pPr>
            <w:r>
              <w:rPr>
                <w:rFonts w:ascii="Calibri" w:cs="Calibri" w:eastAsia="Calibri" w:hAnsi="Calibri"/>
                <w:b w:val="false"/>
                <w:bCs w:val="false"/>
                <w:color w:val="1F2937"/>
                <w:sz w:val="19"/>
                <w:szCs w:val="19"/>
              </w:rPr>
              <w:t xml:space="preserve"> </w:t>
            </w:r>
          </w:p>
        </w:tc>
        <w:tc>
          <w:tcPr>
            <w:tcW w:type="pct" w:w="58%"/>
          </w:tcPr>
          <w:p>
            <w:pPr>
              <w:jc w:val="left"/>
            </w:pPr>
            <w:r>
              <w:rPr>
                <w:rFonts w:ascii="Calibri" w:cs="Calibri" w:eastAsia="Calibri" w:hAnsi="Calibri"/>
                <w:b w:val="false"/>
                <w:bCs w:val="false"/>
                <w:color w:val="1F2937"/>
                <w:sz w:val="19"/>
                <w:szCs w:val="19"/>
              </w:rPr>
              <w:t xml:space="preserve"> </w:t>
            </w:r>
          </w:p>
        </w:tc>
      </w:tr>
      <w:tr>
        <w:trPr>
          <w:cantSplit/>
        </w:trPr>
        <w:tc>
          <w:tcPr>
            <w:tcW w:type="pct" w:w="42%"/>
          </w:tcPr>
          <w:p>
            <w:pPr>
              <w:jc w:val="left"/>
            </w:pPr>
            <w:r>
              <w:rPr>
                <w:rFonts w:ascii="Calibri" w:cs="Calibri" w:eastAsia="Calibri" w:hAnsi="Calibri"/>
                <w:b w:val="false"/>
                <w:bCs w:val="false"/>
                <w:color w:val="1F2937"/>
                <w:sz w:val="19"/>
                <w:szCs w:val="19"/>
              </w:rPr>
              <w:t xml:space="preserve"> </w:t>
            </w:r>
          </w:p>
        </w:tc>
        <w:tc>
          <w:tcPr>
            <w:tcW w:type="pct" w:w="58%"/>
          </w:tcPr>
          <w:p>
            <w:pPr>
              <w:jc w:val="left"/>
            </w:pPr>
            <w:r>
              <w:rPr>
                <w:rFonts w:ascii="Calibri" w:cs="Calibri" w:eastAsia="Calibri" w:hAnsi="Calibri"/>
                <w:b w:val="false"/>
                <w:bCs w:val="false"/>
                <w:color w:val="1F2937"/>
                <w:sz w:val="19"/>
                <w:szCs w:val="19"/>
              </w:rPr>
              <w:t xml:space="preserve"> </w:t>
            </w:r>
          </w:p>
        </w:tc>
      </w:tr>
      <w:tr>
        <w:trPr>
          <w:cantSplit/>
        </w:trPr>
        <w:tc>
          <w:tcPr>
            <w:tcW w:type="pct" w:w="42%"/>
          </w:tcPr>
          <w:p>
            <w:pPr>
              <w:jc w:val="left"/>
            </w:pPr>
            <w:r>
              <w:rPr>
                <w:rFonts w:ascii="Calibri" w:cs="Calibri" w:eastAsia="Calibri" w:hAnsi="Calibri"/>
                <w:b w:val="false"/>
                <w:bCs w:val="false"/>
                <w:color w:val="1F2937"/>
                <w:sz w:val="19"/>
                <w:szCs w:val="19"/>
              </w:rPr>
              <w:t xml:space="preserve"> </w:t>
            </w:r>
          </w:p>
        </w:tc>
        <w:tc>
          <w:tcPr>
            <w:tcW w:type="pct" w:w="58%"/>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Wypełnij wiersz właściwy dla swojej firmy. W spółce może to być inny członek zarządu, rada nadzorcza, wspólnik albo pełnomocnik nieuwikłany w sprawę; w jednostce publicznej organ nadrzędny albo osoba przez niego wyznaczona. Wpisz konkretne oznaczenie, a nie ogólnik.</w:t>
      </w:r>
    </w:p>
    <w:p>
      <w:pPr>
        <w:spacing w:after="120"/>
        <w:jc w:val="both"/>
      </w:pPr>
      <w:r>
        <w:rPr>
          <w:rFonts w:ascii="Calibri" w:cs="Calibri" w:eastAsia="Calibri" w:hAnsi="Calibri"/>
          <w:b w:val="false"/>
          <w:bCs w:val="false"/>
          <w:i w:val="false"/>
          <w:iCs w:val="false"/>
          <w:color w:val="1F2937"/>
          <w:sz w:val="21"/>
          <w:szCs w:val="21"/>
        </w:rPr>
        <w:t xml:space="preserve">§ 17c. Prowadzącym postępowanie w sprawie z § 17b jest osoba spoza struktury podległej osobie objętej zgłoszeniem, a gdy bezstronnego składu wewnętrznego nie da się utworzyć, prowadzenie powierza się osobie z zewnątrz, na przykład kancelarii albo doradcy, związanej poufnością. Prowadzący z zewnątrz otrzymuje dostęp do akt w zakresie niezbędnym do zbadania sprawy.</w:t>
      </w:r>
    </w:p>
    <w:p>
      <w:pPr>
        <w:spacing w:after="120"/>
        <w:jc w:val="both"/>
      </w:pPr>
      <w:r>
        <w:rPr>
          <w:rFonts w:ascii="Calibri" w:cs="Calibri" w:eastAsia="Calibri" w:hAnsi="Calibri"/>
          <w:b w:val="false"/>
          <w:bCs w:val="false"/>
          <w:i w:val="false"/>
          <w:iCs w:val="false"/>
          <w:color w:val="1F2937"/>
          <w:sz w:val="21"/>
          <w:szCs w:val="21"/>
        </w:rPr>
        <w:t xml:space="preserve">§ 17d. W działalności prowadzonej przez osobę fizyczną, gdy zgłoszenie dotyczy samego pracodawcy, regulamin nie obiecuje niezależnego organu rozstrzygającego, bo taki organ nie istnieje. Pracodawca zleca wtedy zbadanie sprawy osobie z zewnątrz, która sporządza ocenę i rekomendację, i rozważa jej ustalenia. Wiążące rozstrzygnięcie spornego roszczenia należy jednak do sądu pracy; Państwowa Inspekcja Pracy kontroluje przestrzeganie przepisów prawa pracy, ale nie stwierdza mobbingu decyzją i nie zasądza roszczeń. Droga do obu organów jest zawsze otwarta i niezależna od postępowania wewnętrznego.</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94(3) § 1 i § 8 Kodeksu pracy; czynności w sprawach z zakresu prawa pracy za pracodawcę wykonuje osoba lub organ zgodnie z art. 3(1) Kodeksu pracy</w:t>
      </w:r>
    </w:p>
    <w:p>
      <w:pPr>
        <w:keepNext/>
        <w:spacing w:after="120" w:before="260"/>
      </w:pPr>
      <w:r>
        <w:rPr>
          <w:rFonts w:ascii="Calibri" w:cs="Calibri" w:eastAsia="Calibri" w:hAnsi="Calibri"/>
          <w:b/>
          <w:bCs/>
          <w:color w:val="0F172A"/>
          <w:sz w:val="24"/>
          <w:szCs w:val="24"/>
        </w:rPr>
        <w:t xml:space="preserve">Rozdział V. Ochrona zgłaszającego i osób wspierających</w:t>
      </w:r>
    </w:p>
    <w:p>
      <w:pPr>
        <w:spacing w:after="120"/>
        <w:jc w:val="both"/>
      </w:pPr>
      <w:r>
        <w:rPr>
          <w:rFonts w:ascii="Calibri" w:cs="Calibri" w:eastAsia="Calibri" w:hAnsi="Calibri"/>
          <w:b w:val="false"/>
          <w:bCs w:val="false"/>
          <w:i w:val="false"/>
          <w:iCs w:val="false"/>
          <w:color w:val="1F2937"/>
          <w:sz w:val="21"/>
          <w:szCs w:val="21"/>
        </w:rPr>
        <w:t xml:space="preserve">§ 18. Skorzystanie przez pracownika z uprawnień przysługujących z tytułu naruszenia przepisów prawa pracy nie może być podstawą jakiegokolwiek niekorzystnego traktowania ani powodować negatywnych konsekwencji, w szczególności nie może stanowić przyczyny uzasadniającej wypowiedzenie stosunku pracy lub jego rozwiązanie bez wypowiedzenia.</w:t>
      </w:r>
    </w:p>
    <w:p>
      <w:pPr>
        <w:spacing w:after="120"/>
        <w:jc w:val="both"/>
      </w:pPr>
      <w:r>
        <w:rPr>
          <w:rFonts w:ascii="Calibri" w:cs="Calibri" w:eastAsia="Calibri" w:hAnsi="Calibri"/>
          <w:b w:val="false"/>
          <w:bCs w:val="false"/>
          <w:i w:val="false"/>
          <w:iCs w:val="false"/>
          <w:color w:val="1F2937"/>
          <w:sz w:val="21"/>
          <w:szCs w:val="21"/>
        </w:rPr>
        <w:t xml:space="preserve">§ 19. Ochrona z § 18 obejmuje także pracownika, który udzielił wsparcia w jakiejkolwiek formie, w tym świadka. Ochrony nie stosuje się do osoby, która wiedziała, że do naruszenia prawa pracy nie doszło.</w:t>
      </w:r>
    </w:p>
    <w:p>
      <w:pPr>
        <w:spacing w:after="120"/>
        <w:jc w:val="both"/>
      </w:pPr>
      <w:r>
        <w:rPr>
          <w:rFonts w:ascii="Calibri" w:cs="Calibri" w:eastAsia="Calibri" w:hAnsi="Calibri"/>
          <w:b w:val="false"/>
          <w:bCs w:val="false"/>
          <w:i w:val="false"/>
          <w:iCs w:val="false"/>
          <w:color w:val="1F2937"/>
          <w:sz w:val="21"/>
          <w:szCs w:val="21"/>
        </w:rPr>
        <w:t xml:space="preserve">§ 20. Zgłoszenie niepotwierdzone w postępowaniu nie jest zgłoszeniem nieprawdziwym. Odpowiedzialność porządkowa wchodzi w grę wyłącznie wobec osoby, która zgłosiła zachowanie, wiedząc, że nie miało ono miejsca.</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18(3e) § 1 do § 4 Kodeksu pracy</w:t>
      </w:r>
    </w:p>
    <w:p>
      <w:pPr>
        <w:keepNext/>
        <w:spacing w:after="120" w:before="260"/>
      </w:pPr>
      <w:r>
        <w:rPr>
          <w:rFonts w:ascii="Calibri" w:cs="Calibri" w:eastAsia="Calibri" w:hAnsi="Calibri"/>
          <w:b/>
          <w:bCs/>
          <w:color w:val="0F172A"/>
          <w:sz w:val="24"/>
          <w:szCs w:val="24"/>
        </w:rPr>
        <w:t xml:space="preserve">Rozdział VI. Działania prewencyjne i ich częstotliwość</w:t>
      </w:r>
    </w:p>
    <w:p>
      <w:pPr>
        <w:spacing w:after="120"/>
        <w:jc w:val="both"/>
      </w:pPr>
      <w:r>
        <w:rPr>
          <w:rFonts w:ascii="Calibri" w:cs="Calibri" w:eastAsia="Calibri" w:hAnsi="Calibri"/>
          <w:b w:val="false"/>
          <w:bCs w:val="false"/>
          <w:i w:val="false"/>
          <w:iCs w:val="false"/>
          <w:color w:val="1F2937"/>
          <w:sz w:val="21"/>
          <w:szCs w:val="21"/>
        </w:rPr>
        <w:t xml:space="preserve">§ 21. Pracodawca prowadzi działania prewencyjne z następującą częstotliwością:</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tblGrid>
      <w:tr>
        <w:trPr>
          <w:cantSplit/>
          <w:tblHeader/>
        </w:trPr>
        <w:tc>
          <w:tcPr>
            <w:tcW w:type="pct" w:w="45%"/>
            <w:shd w:fill="0F172A"/>
          </w:tcPr>
          <w:p>
            <w:pPr>
              <w:jc w:val="left"/>
            </w:pPr>
            <w:r>
              <w:rPr>
                <w:rFonts w:ascii="Calibri" w:cs="Calibri" w:eastAsia="Calibri" w:hAnsi="Calibri"/>
                <w:b/>
                <w:bCs/>
                <w:color w:val="FFFFFF"/>
                <w:sz w:val="19"/>
                <w:szCs w:val="19"/>
              </w:rPr>
              <w:t xml:space="preserve">Działanie</w:t>
            </w:r>
          </w:p>
        </w:tc>
        <w:tc>
          <w:tcPr>
            <w:tcW w:type="pct" w:w="30%"/>
            <w:shd w:fill="0F172A"/>
          </w:tcPr>
          <w:p>
            <w:pPr>
              <w:jc w:val="left"/>
            </w:pPr>
            <w:r>
              <w:rPr>
                <w:rFonts w:ascii="Calibri" w:cs="Calibri" w:eastAsia="Calibri" w:hAnsi="Calibri"/>
                <w:b/>
                <w:bCs/>
                <w:color w:val="FFFFFF"/>
                <w:sz w:val="19"/>
                <w:szCs w:val="19"/>
              </w:rPr>
              <w:t xml:space="preserve">Częstotliwość</w:t>
            </w:r>
          </w:p>
        </w:tc>
        <w:tc>
          <w:tcPr>
            <w:tcW w:type="pct" w:w="25%"/>
            <w:shd w:fill="0F172A"/>
          </w:tcPr>
          <w:p>
            <w:pPr>
              <w:jc w:val="left"/>
            </w:pPr>
            <w:r>
              <w:rPr>
                <w:rFonts w:ascii="Calibri" w:cs="Calibri" w:eastAsia="Calibri" w:hAnsi="Calibri"/>
                <w:b/>
                <w:bCs/>
                <w:color w:val="FFFFFF"/>
                <w:sz w:val="19"/>
                <w:szCs w:val="19"/>
              </w:rPr>
              <w:t xml:space="preserve">Odpowiedzialny</w:t>
            </w:r>
          </w:p>
        </w:tc>
      </w:tr>
      <w:tr>
        <w:trPr>
          <w:cantSplit/>
        </w:trPr>
        <w:tc>
          <w:tcPr>
            <w:tcW w:type="pct" w:w="45%"/>
          </w:tcPr>
          <w:p>
            <w:pPr>
              <w:jc w:val="left"/>
            </w:pPr>
            <w:r>
              <w:rPr>
                <w:rFonts w:ascii="Calibri" w:cs="Calibri" w:eastAsia="Calibri" w:hAnsi="Calibri"/>
                <w:b w:val="false"/>
                <w:bCs w:val="false"/>
                <w:color w:val="1F2937"/>
                <w:sz w:val="19"/>
                <w:szCs w:val="19"/>
              </w:rPr>
              <w:t xml:space="preserve">Szkolenie dla nowo zatrudnionych</w:t>
            </w:r>
          </w:p>
        </w:tc>
        <w:tc>
          <w:tcPr>
            <w:tcW w:type="pct" w:w="30%"/>
          </w:tcPr>
          <w:p>
            <w:pPr>
              <w:jc w:val="left"/>
            </w:pPr>
            <w:r>
              <w:rPr>
                <w:rFonts w:ascii="Calibri" w:cs="Calibri" w:eastAsia="Calibri" w:hAnsi="Calibri"/>
                <w:b w:val="false"/>
                <w:bCs w:val="false"/>
                <w:color w:val="1F2937"/>
                <w:sz w:val="19"/>
                <w:szCs w:val="19"/>
              </w:rPr>
              <w:t xml:space="preserve">przy zatrudnieniu</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Szkolenie przypominające dla pracowników</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Szkolenie dla kadry kierowniczej</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Przegląd zgłoszeń i sygnałów pośrednich</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Badanie atmosfery pracy</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r>
        <w:trPr>
          <w:cantSplit/>
        </w:trPr>
        <w:tc>
          <w:tcPr>
            <w:tcW w:type="pct" w:w="45%"/>
          </w:tcPr>
          <w:p>
            <w:pPr>
              <w:jc w:val="left"/>
            </w:pPr>
            <w:r>
              <w:rPr>
                <w:rFonts w:ascii="Calibri" w:cs="Calibri" w:eastAsia="Calibri" w:hAnsi="Calibri"/>
                <w:b w:val="false"/>
                <w:bCs w:val="false"/>
                <w:color w:val="1F2937"/>
                <w:sz w:val="19"/>
                <w:szCs w:val="19"/>
              </w:rPr>
              <w:t xml:space="preserve">Przegląd niniejszego regulaminu</w:t>
            </w:r>
          </w:p>
        </w:tc>
        <w:tc>
          <w:tcPr>
            <w:tcW w:type="pct" w:w="30%"/>
          </w:tcPr>
          <w:p>
            <w:pPr>
              <w:jc w:val="left"/>
            </w:pPr>
            <w:r>
              <w:rPr>
                <w:rFonts w:ascii="Calibri" w:cs="Calibri" w:eastAsia="Calibri" w:hAnsi="Calibri"/>
                <w:b w:val="false"/>
                <w:bCs w:val="false"/>
                <w:color w:val="1F2937"/>
                <w:sz w:val="19"/>
                <w:szCs w:val="19"/>
              </w:rPr>
              <w:t xml:space="preserve"> </w:t>
            </w:r>
          </w:p>
        </w:tc>
        <w:tc>
          <w:tcPr>
            <w:tcW w:type="pct" w:w="25%"/>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Ustawa nie podaje żadnej z tych częstotliwości, ale wymaga, żeby pracodawca je ustalił. Zapis w rodzaju w miarę potrzeb nie wykonuje tego obowiązku. Wpisz konkretne wartości.</w:t>
      </w:r>
    </w:p>
    <w:p>
      <w:pPr>
        <w:spacing w:after="120"/>
        <w:jc w:val="both"/>
      </w:pPr>
      <w:r>
        <w:rPr>
          <w:rFonts w:ascii="Calibri" w:cs="Calibri" w:eastAsia="Calibri" w:hAnsi="Calibri"/>
          <w:b w:val="false"/>
          <w:bCs w:val="false"/>
          <w:i w:val="false"/>
          <w:iCs w:val="false"/>
          <w:color w:val="1F2937"/>
          <w:sz w:val="21"/>
          <w:szCs w:val="21"/>
        </w:rPr>
        <w:t xml:space="preserve">§ 22. Wykonanie działań dokumentuje się. Dowodem wykonania są programy szkoleń, listy obecności, notatki z przeglądów oraz wpisy w rejestrze zgłoszeń i działań.</w:t>
      </w:r>
    </w:p>
    <w:p>
      <w:pPr>
        <w:keepNext/>
        <w:spacing w:after="120" w:before="260"/>
      </w:pPr>
      <w:r>
        <w:rPr>
          <w:rFonts w:ascii="Calibri" w:cs="Calibri" w:eastAsia="Calibri" w:hAnsi="Calibri"/>
          <w:b/>
          <w:bCs/>
          <w:color w:val="0F172A"/>
          <w:sz w:val="24"/>
          <w:szCs w:val="24"/>
        </w:rPr>
        <w:t xml:space="preserve">Rozdział VII. Postanowienia końcowe</w:t>
      </w:r>
    </w:p>
    <w:p>
      <w:pPr>
        <w:spacing w:after="120"/>
        <w:jc w:val="both"/>
      </w:pPr>
      <w:r>
        <w:rPr>
          <w:rFonts w:ascii="Calibri" w:cs="Calibri" w:eastAsia="Calibri" w:hAnsi="Calibri"/>
          <w:b w:val="false"/>
          <w:bCs w:val="false"/>
          <w:i w:val="false"/>
          <w:iCs w:val="false"/>
          <w:color w:val="1F2937"/>
          <w:sz w:val="21"/>
          <w:szCs w:val="21"/>
        </w:rPr>
        <w:t xml:space="preserve">§ 23. Regulamin wchodzi w życie po upływie 2 tygodni od dnia podania go do wiadomości pracowników w sposób przyjęty u pracodawcy. Pracodawca zapoznaje pracownika z treścią regulaminu przed dopuszczeniem go do pracy.</w:t>
      </w:r>
    </w:p>
    <w:p>
      <w:pPr>
        <w:spacing w:after="120"/>
        <w:jc w:val="both"/>
      </w:pPr>
      <w:r>
        <w:rPr>
          <w:rFonts w:ascii="Calibri" w:cs="Calibri" w:eastAsia="Calibri" w:hAnsi="Calibri"/>
          <w:b w:val="false"/>
          <w:bCs w:val="false"/>
          <w:i w:val="false"/>
          <w:iCs w:val="false"/>
          <w:color w:val="1F2937"/>
          <w:sz w:val="21"/>
          <w:szCs w:val="21"/>
        </w:rPr>
        <w:t xml:space="preserve">§ 24. Akta postępowań wyjaśniających przechowuje się osobno od akt osobowych. Dostęp do akt jest ograniczony do niezbędnego zakresu i przysługuje osobom prowadzącym postępowanie, a ponadto, w części niezbędnej do wykonania ich zadań, osobie podejmującej decyzję pracodawcy, obsłudze prawnej oraz osobom realizującym obowiązek wobec uprawnionego organu. Każde udostępnienie akt poza zespół odnotowuje się, ze wskazaniem osoby, zakresu i podstawy.</w:t>
      </w:r>
    </w:p>
    <w:p>
      <w:pPr>
        <w:spacing w:after="120"/>
        <w:jc w:val="both"/>
      </w:pPr>
      <w:r>
        <w:rPr>
          <w:rFonts w:ascii="Calibri" w:cs="Calibri" w:eastAsia="Calibri" w:hAnsi="Calibri"/>
          <w:b w:val="false"/>
          <w:bCs w:val="false"/>
          <w:i w:val="false"/>
          <w:iCs w:val="false"/>
          <w:color w:val="1F2937"/>
          <w:sz w:val="21"/>
          <w:szCs w:val="21"/>
        </w:rPr>
        <w:t xml:space="preserve">§ 24a. Okres przechowywania akt ustala się według celu przetwarzania oraz terminów dochodzenia i przedawnienia roszczeń, których akta mogą dotyczyć, a przed usunięciem przeprowadza się i dokumentuje przegląd potrzeby ich dalszego zachowania. Termin 3 lat od zakończenia postępowania jest wartością wyjściową, a nie sztywną: dłuższe zachowanie akt musi mieć wskazaną podstawę, na przykład toczący się spór albo dającą się przewidzieć obronę roszczeń, a nie ogólne zachowanie na wszelki wypadek.</w:t>
      </w:r>
    </w:p>
    <w:p>
      <w:pPr>
        <w:spacing w:after="120"/>
        <w:jc w:val="both"/>
      </w:pPr>
      <w:r>
        <w:rPr>
          <w:rFonts w:ascii="Calibri" w:cs="Calibri" w:eastAsia="Calibri" w:hAnsi="Calibri"/>
          <w:b w:val="false"/>
          <w:bCs w:val="false"/>
          <w:i w:val="false"/>
          <w:iCs w:val="false"/>
          <w:color w:val="1F2937"/>
          <w:sz w:val="21"/>
          <w:szCs w:val="21"/>
        </w:rPr>
        <w:t xml:space="preserve">§ 25. Regulamin nie ogranicza uprawnień pracownika do wystąpienia do Państwowej Inspekcji Pracy ani do wytoczenia powództwa przed sądem pracy. Pracownik, który doznał mobbingu, może dochodzić od pracodawcy zadośćuczynienia w wysokości nie niższej niż sześciokrotność minimalnego wynagrodzenia za pracę, co przy stawce obowiązującej w 2026 r. daje 28 836 zł, lub dochodzić odszkodowania.</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art. 94(3a) § 6 w związku z art. 104(3) Kodeksu pracy oraz art. 94(3) § 11 Kodeksu pracy</w:t>
      </w:r>
    </w:p>
    <w:p>
      <w:pPr>
        <w:spacing w:after="40" w:before="160"/>
      </w:pPr>
      <w:r>
        <w:rPr>
          <w:rFonts w:ascii="Calibri" w:cs="Calibri" w:eastAsia="Calibri" w:hAnsi="Calibri"/>
          <w:color w:val="595959"/>
          <w:sz w:val="21"/>
          <w:szCs w:val="21"/>
        </w:rPr>
        <w:t xml:space="preserve">..................................</w:t>
      </w:r>
      <w:r>
        <w:rPr>
          <w:rFonts w:ascii="Calibri" w:cs="Calibri" w:eastAsia="Calibri" w:hAnsi="Calibri"/>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Podpis pracodawcy                           </w:t>
      </w:r>
      <w:r>
        <w:rPr>
          <w:rFonts w:ascii="Calibri" w:cs="Calibri" w:eastAsia="Calibri" w:hAnsi="Calibri"/>
          <w:color w:val="595959"/>
          <w:sz w:val="16"/>
          <w:szCs w:val="16"/>
        </w:rPr>
        <w:t xml:space="preserve">Podpis przedstawiciela strony społecznej</w:t>
      </w:r>
    </w:p>
    <w:p>
      <w:pPr>
        <w:spacing w:after="0" w:before="60"/>
      </w:pPr>
      <w:r>
        <w:rPr>
          <w:rFonts w:ascii="Calibri" w:cs="Calibri" w:eastAsia="Calibri" w:hAnsi="Calibri"/>
          <w:i/>
          <w:iCs/>
          <w:color w:val="595959"/>
          <w:sz w:val="13"/>
          <w:szCs w:val="13"/>
        </w:rPr>
        <w:t xml:space="preserve">Jedynym źródłem brzmienia przepisów przytoczonych we wzorze jest Dziennik Ustaw. Wzór nie zwalnia z obowiązku zapoznania się z tekstem ustawy ani z oceny, czy jest odpowiedni w danej sytuacji. Terminy dochodzenia roszczeń biegną niezależnie od postępowania wewnętrznego, więc przy każdej wątpliwości warto sięgnąć po pomoc pełnomocnika.</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5"/>
        <w:szCs w:val="15"/>
      </w:rPr>
      <w:t xml:space="preserve">NEW PROJECT Andrzej Brzeziński  |  https://newproject360.pl/mobbing-w-pracy-ab/  |  wersja pakietu 1.2, stan prawny na dzień 3 września 2026 r.</w:t>
    </w:r>
  </w:p>
  <w:p>
    <w:pPr>
      <w:spacing w:before="40"/>
      <w:jc w:val="center"/>
    </w:pPr>
    <w:r>
      <w:rPr>
        <w:rFonts w:ascii="Calibri" w:cs="Calibri" w:eastAsia="Calibri" w:hAnsi="Calibri"/>
        <w:color w:val="595959"/>
        <w:sz w:val="15"/>
        <w:szCs w:val="15"/>
      </w:rPr>
      <w:t xml:space="preserve">Strona </w:t>
    </w:r>
    <w:r>
      <w:rPr>
        <w:rFonts w:ascii="Calibri" w:cs="Calibri" w:eastAsia="Calibri" w:hAnsi="Calibri"/>
        <w:color w:val="595959"/>
        <w:sz w:val="15"/>
        <w:szCs w:val="15"/>
      </w:rPr>
      <w:fldChar w:fldCharType="begin"/>
      <w:instrText xml:space="preserve">PAGE</w:instrText>
      <w:fldChar w:fldCharType="separate"/>
      <w:fldChar w:fldCharType="end"/>
    </w:r>
    <w:r>
      <w:rPr>
        <w:rFonts w:ascii="Calibri" w:cs="Calibri" w:eastAsia="Calibri" w:hAnsi="Calibri"/>
        <w:color w:val="595959"/>
        <w:sz w:val="15"/>
        <w:szCs w:val="15"/>
      </w:rPr>
      <w:t xml:space="preserve"> z </w:t>
    </w:r>
    <w:r>
      <w:rPr>
        <w:rFonts w:ascii="Calibri" w:cs="Calibri" w:eastAsia="Calibri" w:hAnsi="Calibri"/>
        <w:color w:val="595959"/>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 Przeciwdzialania Mobbingowi</dc:title>
  <dc:creator>NEW PROJECT Andrzej Brzeziński</dc:creator>
  <dc:description>Pakiet regulaminu przeciwdzialania mobbingowi, dyskryminacji i naruszaniu dobr osobistych</dc:description>
  <cp:lastModifiedBy>Un-named</cp:lastModifiedBy>
  <cp:revision>1</cp:revision>
  <dcterms:created xsi:type="dcterms:W3CDTF">2026-09-03T19:41:43.278Z</dcterms:created>
  <dcterms:modified xsi:type="dcterms:W3CDTF">2026-09-03T19:41:43.279Z</dcterms:modified>
</cp:coreProperties>
</file>

<file path=docProps/custom.xml><?xml version="1.0" encoding="utf-8"?>
<Properties xmlns="http://schemas.openxmlformats.org/officeDocument/2006/custom-properties" xmlns:vt="http://schemas.openxmlformats.org/officeDocument/2006/docPropsVTypes"/>
</file>