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(oznaczenie pracodawcy)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INSTRUKCJA BEZPIECZEŃSTWA I HIGIENY PRACY</w:t>
      </w:r>
    </w:p>
    <w:p>
      <w:pPr>
        <w:spacing w:after="260"/>
        <w:jc w:val="center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praca z czynnikiem o działaniu rakotwórczym, mutagennym lub reprotoksycznym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Stanowisko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Czynnik CMR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Obowiązuje od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1. Czynności przed rozpoczęciem pracy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Sprawdzenie działania wentylacji miejscowej i ogólnej.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Sprawdzenie kompletności i stanu środków ochrony indywidualnej.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Sprawdzenie oznakowania pojemników i szczelności opakowań.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Sprawdzenie dostępności środków do neutralizacji i sprzątania rozlewu.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2. Czynności podczas pracy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Pobieranie wyłącznie ilości potrzebnej do wykonania czynności.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Praca przy włączonym odciągu miejscowym, z zachowaniem odległości zapewniającej skuteczne wychwytywanie.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Natychmiastowe zamykanie opakowań po pobraniu substancji.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Zakaz spożywania posiłków, picia i palenia tytoniu w strefie zagrożonej.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Zakaz wynoszenia odzieży ochronnej poza wyznaczony obszar.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3. Czynności zabronione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Przelewanie substancji do opakowań nieoznakowanych oraz do opakowań po środkach spożywczych.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Praca bez sprawnej wentylacji albo bez wymaganych środków ochrony indywidualnej.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Sprzątanie rozsypanego pyłu na sucho, przez zamiatanie albo przedmuchiwanie sprężonym powietrzem.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Dopuszczanie do pracy osób objętych zakazem zatrudniania przy tym czynniku.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4. Czynności po zakończeniu pracy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Uporządkowanie stanowiska i przekazanie odpadów do oznakowanych, szczelnie zamkniętych pojemników.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Zdjęcie i odłożenie odzieży ochronnej w wyznaczonym miejscu.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Umycie rąk i twarzy, a przy pracach pylących kąpiel.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5. Postępowanie w sytuacjach awaryjnych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</w:tblGrid>
      <w:tr>
        <w:trPr>
          <w:tblHeader/>
        </w:trPr>
        <w:tc>
          <w:tcPr>
            <w:tcW w:type="pct" w:w="2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Sytuacja</w:t>
            </w:r>
          </w:p>
        </w:tc>
        <w:tc>
          <w:tcPr>
            <w:tcW w:type="pct" w:w="4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Co zrobić natychmiast</w:t>
            </w:r>
          </w:p>
        </w:tc>
        <w:tc>
          <w:tcPr>
            <w:tcW w:type="pct" w:w="3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Kogo powiadomić</w:t>
            </w:r>
          </w:p>
        </w:tc>
      </w:tr>
      <w:tr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6. Pierwsza pomoc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</w:tblGrid>
      <w:tr>
        <w:trPr>
          <w:tblHeader/>
        </w:trPr>
        <w:tc>
          <w:tcPr>
            <w:tcW w:type="pct" w:w="2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Droga narażenia</w:t>
            </w:r>
          </w:p>
        </w:tc>
        <w:tc>
          <w:tcPr>
            <w:tcW w:type="pct" w:w="7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Postępowanie</w:t>
            </w:r>
          </w:p>
        </w:tc>
      </w:tr>
      <w:tr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7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7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7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7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595959"/>
          <w:sz w:val="18"/>
          <w:szCs w:val="18"/>
        </w:rPr>
        <w:t xml:space="preserve">Treść wypełnia się na podstawie sekcji 4 karty charakterystyki danego czynnika.</w:t>
      </w:r>
    </w:p>
    <w:p>
      <w:pPr>
        <w:spacing w:after="40" w:before="42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(opracował)                                 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(zatwierdził: pracodawca)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art. 237 z indeksem 4 § 2 Kodeksu pracy; § 5 i § 11 rozporządzenia Ministra Zdrowia z 26 lipca 2024 r. o substancjach CMR; § 6 ust. 1 pkt 7 rozporządzenia Ministra Zdrowia z 30 grudnia 2004 r. o bhp przy czynnikach chemicznych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https://newproject360.pl/substancje-cmr-ab/  |  wersja pakietu 1.0, stan prawny na dzień 22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Instrukcja BHP Praca z Czynnikiem CMR</dc:title>
  <dc:creator>NEW PROJECT Andrzej Brzeziński</dc:creator>
  <dc:description>Wzór z pakietu oceny ryzyka chemicznego. Stan prawny w stopce dokumentu.</dc:description>
  <cp:lastModifiedBy>Un-named</cp:lastModifiedBy>
  <cp:revision>1</cp:revision>
  <dcterms:created xsi:type="dcterms:W3CDTF">2026-08-22T22:16:12.768Z</dcterms:created>
  <dcterms:modified xsi:type="dcterms:W3CDTF">2026-08-22T22:16:12.768Z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