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(oznaczenie pracodawcy: nazwa, adres, NIP, REGON)</w:t>
      </w:r>
    </w:p>
    <w:p>
      <w:pPr>
        <w:spacing w:after="20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REJESTR PRAC</w:t>
      </w:r>
    </w:p>
    <w:p>
      <w:pPr>
        <w:spacing w:after="260"/>
        <w:jc w:val="center"/>
      </w:pPr>
      <w:r>
        <w:rPr>
          <w:rFonts w:ascii="Calibri" w:cs="Calibri" w:eastAsia="Calibri" w:hAnsi="Calibri"/>
          <w:i/>
          <w:iCs/>
          <w:color w:val="595959"/>
          <w:sz w:val="20"/>
          <w:szCs w:val="20"/>
        </w:rPr>
        <w:t xml:space="preserve">których wykonywanie powoduje konieczność pozostawania w kontakcie z substancjami chemicznymi, ich mieszaninami, czynnikami lub procesami technologicznymi o działaniu rakotwórczym, mutagennym lub reprotoksycznym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Data założenia rejestru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Rejestr prowadzony w formie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(papierowej albo w postaci elektronicznej)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Wykaz procesów technologicznych i prac oraz wykaz substancji i czynników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Wykaz procesów technologicznych i prac, w których substancje chemiczne i ich mieszaniny lub czynniki o działaniu rakotwórczym, mutagennym lub reprotoksycznym są stosowane, produkowane albo występują jako zanieczyszczenia bądź produkt uboczny, wraz z podaniem wielkości produkcji lub stosowania.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2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Proces technologiczny lub praca</w:t>
            </w:r>
          </w:p>
        </w:tc>
        <w:tc>
          <w:tcPr>
            <w:tcW w:type="pct" w:w="2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Substancja, mieszanina albo czynnik</w:t>
            </w:r>
          </w:p>
        </w:tc>
        <w:tc>
          <w:tcPr>
            <w:tcW w:type="pct" w:w="1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Numer CAS, WE albo indeksowy</w:t>
            </w:r>
          </w:p>
        </w:tc>
        <w:tc>
          <w:tcPr>
            <w:tcW w:type="pct" w:w="1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Postać występowania</w:t>
            </w:r>
          </w:p>
        </w:tc>
        <w:tc>
          <w:tcPr>
            <w:tcW w:type="pct" w:w="1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Wielkość produkcji lub stosowania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Uzasadnienie konieczności stosowania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Dlaczego proces nie może obejść się bez tego czynnika i co stanęło na przeszkodzie zastąpieniu go czynnikiem mniej szkodliwym.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................................................................................................</w:t>
      </w:r>
    </w:p>
    <w:p>
      <w:pPr>
        <w:spacing w:after="160"/>
      </w:pPr>
      <w:r>
        <w:rPr>
          <w:rFonts w:ascii="Calibri" w:cs="Calibri" w:eastAsia="Calibri" w:hAnsi="Calibri"/>
          <w:color w:val="1F2937"/>
          <w:sz w:val="21"/>
          <w:szCs w:val="21"/>
        </w:rPr>
        <w:t xml:space="preserve">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................................................................................................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Wykaz i opis stanowisk pracy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2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Nazwa stanowiska</w:t>
            </w:r>
          </w:p>
        </w:tc>
        <w:tc>
          <w:tcPr>
            <w:tcW w:type="pct" w:w="2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Lokalizacja</w:t>
            </w:r>
          </w:p>
        </w:tc>
        <w:tc>
          <w:tcPr>
            <w:tcW w:type="pct" w:w="5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Krótki opis stanowiska i wykonywanych czynności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5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5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5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5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5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5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4. Liczba pracowników z podziałem na próg i na płeć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Podział według wartości 0,1 wartości NDS. Do pierwszej grupy zalicza się wyłącznie pracowników spełniających przynajmniej jedno z kryteriów wskazanych w objaśnieniu pod tabelą.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2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Stanowisko</w:t>
            </w:r>
          </w:p>
        </w:tc>
        <w:tc>
          <w:tcPr>
            <w:tcW w:type="pct" w:w="1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Do 0,1 wartości NDS: mężczyźni</w:t>
            </w:r>
          </w:p>
        </w:tc>
        <w:tc>
          <w:tcPr>
            <w:tcW w:type="pct" w:w="1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Do 0,1 wartości NDS: kobiety</w:t>
            </w:r>
          </w:p>
        </w:tc>
        <w:tc>
          <w:tcPr>
            <w:tcW w:type="pct" w:w="19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Powyżej 0,1 wartości NDS lub bez pomiarów: mężczyźni</w:t>
            </w:r>
          </w:p>
        </w:tc>
        <w:tc>
          <w:tcPr>
            <w:tcW w:type="pct" w:w="19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Powyżej 0,1 wartości NDS lub bez pomiarów: kobiety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9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9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9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9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9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9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9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9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9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9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9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9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200" w:before="120"/>
      </w:pPr>
      <w:r>
        <w:rPr>
          <w:rFonts w:ascii="Calibri" w:cs="Calibri" w:eastAsia="Calibri" w:hAnsi="Calibri"/>
          <w:b/>
          <w:bCs/>
          <w:i/>
          <w:iCs/>
          <w:color w:val="595959"/>
          <w:sz w:val="17"/>
          <w:szCs w:val="17"/>
        </w:rPr>
        <w:t xml:space="preserve">Jak wypełnić: </w:t>
      </w:r>
      <w:r>
        <w:rPr>
          <w:rFonts w:ascii="Calibri" w:cs="Calibri" w:eastAsia="Calibri" w:hAnsi="Calibri"/>
          <w:i/>
          <w:iCs/>
          <w:color w:val="595959"/>
          <w:sz w:val="17"/>
          <w:szCs w:val="17"/>
        </w:rPr>
        <w:t xml:space="preserve">Do grupy o stężeniu do 0,1 wartości NDS wolno zaliczyć pracownika, gdy spełnione jest przynajmniej jedno kryterium: dwa kolejne pomiary substancji z ustaloną wartością NDS nie wykazały stężeń powyżej tego progu; dwa kolejne pomiary czynnika wskazanego w procesie technologicznym z załącznika nr 1 nie wykazały stężeń powyżej tego progu; praca dotyczy badań naukowych i rozwojowych w rozumieniu rozporządzenia REACH, prowadzonych w kontrolowanych warunkach z użyciem substancji w ilości mniejszej niż 1 tona rocznie. Przy braku pomiarów albo braku ustalonej wartości NDS pracownika wpisuje się do grupy drugiej. Kobiety wykazuje się dodatkowo z podziałem na wiek do 45 lat w informacji rocznej.</w:t>
      </w:r>
    </w:p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5. Rodzaj czynnika, droga, poziom i czas narażenia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18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Stanowisko</w:t>
            </w:r>
          </w:p>
        </w:tc>
        <w:tc>
          <w:tcPr>
            <w:tcW w:type="pct" w:w="2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Czynnik</w:t>
            </w:r>
          </w:p>
        </w:tc>
        <w:tc>
          <w:tcPr>
            <w:tcW w:type="pct" w:w="1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Droga narażenia</w:t>
            </w:r>
          </w:p>
        </w:tc>
        <w:tc>
          <w:tcPr>
            <w:tcW w:type="pct" w:w="2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Poziom narażenia</w:t>
            </w:r>
          </w:p>
        </w:tc>
        <w:tc>
          <w:tcPr>
            <w:tcW w:type="pct" w:w="22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Czas narażenia (godz. na zmianę, dni w roku)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8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1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2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6. Podjęte środki i działania ograniczające narażenie</w:t>
      </w:r>
    </w:p>
    <w:tbl>
      <w:tblPr>
        <w:tblW w:type="pct" w:w="100%"/>
        <w:tblBorders>
          <w:top w:val="single" w:color="C9D2E0" w:sz="4"/>
          <w:left w:val="single" w:color="C9D2E0" w:sz="4"/>
          <w:bottom w:val="single" w:color="C9D2E0" w:sz="4"/>
          <w:right w:val="single" w:color="C9D2E0" w:sz="4"/>
          <w:insideH w:val="single" w:color="C9D2E0" w:sz="4"/>
          <w:insideV w:val="single" w:color="C9D2E0" w:sz="4"/>
        </w:tblBorders>
      </w:tblPr>
      <w:tblGrid>
        <w:gridCol w:w="100"/>
        <w:gridCol w:w="100"/>
        <w:gridCol w:w="100"/>
        <w:gridCol w:w="100"/>
        <w:gridCol w:w="100"/>
      </w:tblGrid>
      <w:tr>
        <w:trPr>
          <w:tblHeader/>
        </w:trPr>
        <w:tc>
          <w:tcPr>
            <w:tcW w:type="pct" w:w="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Lp.</w:t>
            </w:r>
          </w:p>
        </w:tc>
        <w:tc>
          <w:tcPr>
            <w:tcW w:type="pct" w:w="20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Stanowisko</w:t>
            </w:r>
          </w:p>
        </w:tc>
        <w:tc>
          <w:tcPr>
            <w:tcW w:type="pct" w:w="26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Środki techniczne</w:t>
            </w:r>
          </w:p>
        </w:tc>
        <w:tc>
          <w:tcPr>
            <w:tcW w:type="pct" w:w="2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Środki organizacyjne</w:t>
            </w:r>
          </w:p>
        </w:tc>
        <w:tc>
          <w:tcPr>
            <w:tcW w:type="pct" w:w="24%"/>
            <w:shd w:fill="0F172A"/>
          </w:tcPr>
          <w:p>
            <w:pPr>
              <w:jc w:val="left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Środki ochrony indywidualnej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  <w:tr>
        <w:tc>
          <w:tcPr>
            <w:tcW w:type="pct" w:w="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0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6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  <w:tc>
          <w:tcPr>
            <w:tcW w:type="pct" w:w="24%"/>
          </w:tcPr>
          <w:p>
            <w:pPr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1F2937"/>
                <w:sz w:val="19"/>
                <w:szCs w:val="19"/>
              </w:rPr>
              <w:t xml:space="preserve"> </w:t>
            </w:r>
          </w:p>
        </w:tc>
      </w:tr>
    </w:tbl>
    <w:p>
      <w:pPr>
        <w:spacing w:after="120" w:before="26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Przechowywanie</w:t>
      </w:r>
    </w:p>
    <w:p>
      <w:pPr>
        <w:spacing w:after="120"/>
        <w:jc w:val="both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F2937"/>
          <w:sz w:val="21"/>
          <w:szCs w:val="21"/>
        </w:rPr>
        <w:t xml:space="preserve">Rejestr prac wraz z rejestrem pracowników przechowuje się przez 40 lat po ustaniu narażenia, gdy dotyczy czynników o działaniu rakotwórczym lub mutagennym, oraz przez 5 lat po ustaniu narażenia, gdy dotyczy substancji reprotoksycznych niebędących jednocześnie czynnikami o działaniu rakotwórczym lub mutagennym.</w:t>
      </w:r>
    </w:p>
    <w:p>
      <w:pPr>
        <w:spacing w:after="40" w:before="420"/>
      </w:pP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  <w:r>
        <w:rPr>
          <w:rFonts w:ascii="Calibri" w:cs="Calibri" w:eastAsia="Calibri" w:hAnsi="Calibri"/>
          <w:sz w:val="21"/>
          <w:szCs w:val="21"/>
        </w:rPr>
        <w:t xml:space="preserve">          </w:t>
      </w:r>
      <w:r>
        <w:rPr>
          <w:rFonts w:ascii="Calibri" w:cs="Calibri" w:eastAsia="Calibri" w:hAnsi="Calibri"/>
          <w:color w:val="595959"/>
          <w:sz w:val="21"/>
          <w:szCs w:val="21"/>
        </w:rPr>
        <w:t xml:space="preserve">..................................</w:t>
      </w:r>
    </w:p>
    <w:p>
      <w:pPr>
        <w:spacing w:after="20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(data i podpis osoby prowadzącej rejestr)   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(data i podpis pracodawcy)</w:t>
      </w:r>
    </w:p>
    <w:p>
      <w:pPr>
        <w:spacing w:after="120" w:before="200"/>
      </w:pPr>
      <w:r>
        <w:rPr>
          <w:rFonts w:ascii="Calibri" w:cs="Calibri" w:eastAsia="Calibri" w:hAnsi="Calibri"/>
          <w:b/>
          <w:bCs/>
          <w:color w:val="595959"/>
          <w:sz w:val="17"/>
          <w:szCs w:val="17"/>
        </w:rPr>
        <w:t xml:space="preserve">Podstawa prawna: </w:t>
      </w:r>
      <w:r>
        <w:rPr>
          <w:rFonts w:ascii="Calibri" w:cs="Calibri" w:eastAsia="Calibri" w:hAnsi="Calibri"/>
          <w:color w:val="595959"/>
          <w:sz w:val="17"/>
          <w:szCs w:val="17"/>
        </w:rPr>
        <w:t xml:space="preserve">§ 6 ust. 1 i § 8 ust. 1 rozporządzenia Ministra Zdrowia z 26 lipca 2024 r. w sprawie substancji chemicznych, ich mieszanin, czynników lub procesów technologicznych o działaniu rakotwórczym, mutagennym lub reprotoksycznym w środowisku pracy; art. 222 § 2 Kodeksu pracy</w:t>
      </w:r>
    </w:p>
    <w:sectPr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NEW PROJECT Andrzej Brzeziński  |  https://newproject360.pl/substancje-cmr-ab/  |  wersja pakietu 1.0, stan prawny na dzień 22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Rejestr Prac CMR</dc:title>
  <dc:creator>NEW PROJECT Andrzej Brzeziński</dc:creator>
  <dc:description>Wzór z pakietu rejestrów i informacji o substancjach CMR. Stan prawny w stopce dokumentu.</dc:description>
  <cp:lastModifiedBy>Un-named</cp:lastModifiedBy>
  <cp:revision>1</cp:revision>
  <dcterms:created xsi:type="dcterms:W3CDTF">2026-08-22T22:12:36.429Z</dcterms:created>
  <dcterms:modified xsi:type="dcterms:W3CDTF">2026-08-22T22:12:36.430Z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