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before="600"/>
        <w:jc w:val="center"/>
      </w:pPr>
      <w:r>
        <w:rPr>
          <w:rFonts w:ascii="Calibri" w:cs="Calibri" w:eastAsia="Calibri" w:hAnsi="Calibri"/>
          <w:b/>
          <w:bCs/>
          <w:i w:val="false"/>
          <w:iCs w:val="false"/>
          <w:color w:val="0F172A"/>
          <w:sz w:val="44"/>
          <w:szCs w:val="44"/>
        </w:rPr>
        <w:t xml:space="preserve">Materiały szkoleniowe</w:t>
      </w:r>
    </w:p>
    <w:p>
      <w:pPr>
        <w:spacing w:after="600"/>
        <w:jc w:val="center"/>
      </w:pPr>
      <w:r>
        <w:rPr>
          <w:rFonts w:ascii="Calibri" w:cs="Calibri" w:eastAsia="Calibri" w:hAnsi="Calibri"/>
          <w:b w:val="false"/>
          <w:bCs w:val="false"/>
          <w:i/>
          <w:iCs/>
          <w:color w:val="595959"/>
          <w:sz w:val="22"/>
          <w:szCs w:val="22"/>
        </w:rPr>
        <w:t xml:space="preserve">Szkolenie okresowe w dziedzinie bezpieczeństwa i higieny pracy dla pracowników na stanowiskach administracyjno-biurowych, w formie samokształcenia kierowanego</w:t>
      </w:r>
    </w:p>
    <w:p>
      <w:pPr>
        <w:spacing w:after="110" w:before="240"/>
      </w:pPr>
      <w:r>
        <w:rPr>
          <w:rFonts w:ascii="Calibri" w:cs="Calibri" w:eastAsia="Calibri" w:hAnsi="Calibri"/>
          <w:b/>
          <w:bCs/>
          <w:i w:val="false"/>
          <w:iCs w:val="false"/>
          <w:color w:val="0F172A"/>
          <w:sz w:val="23"/>
          <w:szCs w:val="23"/>
        </w:rPr>
        <w:t xml:space="preserve">Jak korzystać z tych materiałów</w:t>
      </w:r>
    </w:p>
    <w:p>
      <w:pPr>
        <w:spacing w:after="130" w:line="300"/>
        <w:jc w:val="both"/>
      </w:pPr>
      <w:r>
        <w:rPr>
          <w:rFonts w:ascii="Calibri" w:cs="Calibri" w:eastAsia="Calibri" w:hAnsi="Calibri"/>
          <w:b w:val="false"/>
          <w:bCs w:val="false"/>
          <w:i w:val="false"/>
          <w:iCs w:val="false"/>
          <w:color w:val="1F2937"/>
          <w:sz w:val="21"/>
          <w:szCs w:val="21"/>
        </w:rPr>
        <w:t xml:space="preserve">Materiały odpowiadają ramowemu programowi szkolenia okresowego dla pracowników na stanowiskach administracyjno-biurowych, określonemu w części VIII załącznika nr 1 do rozporządzenia Ministra Gospodarki i Pracy z 27 lipca 2004 r. w sprawie szkolenia w dziedzinie bezpieczeństwa i higieny pracy. Program obejmuje cztery tematy po dwie godziny lekcyjne, razem co najmniej osiem godzin lekcyjnych po 45 minut.</w:t>
      </w:r>
    </w:p>
    <w:p>
      <w:pPr>
        <w:spacing w:after="130" w:line="300"/>
        <w:jc w:val="both"/>
      </w:pPr>
      <w:r>
        <w:rPr>
          <w:rFonts w:ascii="Calibri" w:cs="Calibri" w:eastAsia="Calibri" w:hAnsi="Calibri"/>
          <w:b w:val="false"/>
          <w:bCs w:val="false"/>
          <w:i w:val="false"/>
          <w:iCs w:val="false"/>
          <w:color w:val="1F2937"/>
          <w:sz w:val="21"/>
          <w:szCs w:val="21"/>
        </w:rPr>
        <w:t xml:space="preserve">Samokształcenie kierowane nie polega na przeczytaniu tekstu i podpisaniu listy. Rozporządzenie wymaga dwóch rzeczy naraz: materiałów przekazanych przez organizatora oraz zapewnionych konsultacji z osobami spełniającymi wymagania dla wykładowców. Terminy i sposób konsultacji podaje osobny harmonogram, dołączony do tego pakietu.</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Na końcu każdego modułu są pytania kontrolne. Nie są egzaminem, tylko sposobem sprawdzenia, czy moduł można uznać za przerobiony. Egzamin odbywa się osobno, przed komisją powołaną przez organizatora szkolenia, i kończy się zaświadczeniem.</w:t>
            </w:r>
          </w:p>
        </w:tc>
      </w:tr>
    </w:tbl>
    <w:p>
      <w:pPr>
        <w:spacing w:after="140"/>
      </w:pPr>
    </w:p>
    <w:p>
      <w:pPr>
        <w:spacing w:after="130" w:line="300"/>
        <w:jc w:val="both"/>
      </w:pPr>
      <w:r>
        <w:rPr>
          <w:rFonts w:ascii="Calibri" w:cs="Calibri" w:eastAsia="Calibri" w:hAnsi="Calibri"/>
          <w:b w:val="false"/>
          <w:bCs w:val="false"/>
          <w:i w:val="false"/>
          <w:iCs w:val="false"/>
          <w:color w:val="1F2937"/>
          <w:sz w:val="21"/>
          <w:szCs w:val="21"/>
        </w:rPr>
        <w:t xml:space="preserve">W materiałach powołuję konkretne przepisy, żeby dało się je sprawdzić u źródła. Skróty: KP to ustawa z 26 czerwca 1974 r. Kodeks pracy, rozporządzenie szkoleniowe to rozporządzenie z 27 lipca 2004 r. w sprawie szkolenia w dziedzinie bhp, ogólne przepisy bhp to rozporządzenie Ministra Pracy i Polityki Socjalnej z 26 września 1997 r.</w:t>
      </w:r>
    </w:p>
    <w:p>
      <w:pPr>
        <w:spacing w:after="180" w:before="320"/>
      </w:pPr>
      <w:r>
        <w:rPr>
          <w:rFonts w:ascii="Calibri" w:cs="Calibri" w:eastAsia="Calibri" w:hAnsi="Calibri"/>
          <w:b/>
          <w:bCs/>
          <w:i w:val="false"/>
          <w:iCs w:val="false"/>
          <w:color w:val="0F172A"/>
          <w:sz w:val="28"/>
          <w:szCs w:val="28"/>
        </w:rPr>
        <w:t xml:space="preserve">Moduł 1. Regulacje prawne z zakresu bezpieczeństwa i higieny pracy</w:t>
      </w:r>
    </w:p>
    <w:p>
      <w:pPr>
        <w:spacing w:after="130" w:line="300"/>
        <w:jc w:val="both"/>
      </w:pPr>
      <w:r>
        <w:rPr>
          <w:rFonts w:ascii="Calibri" w:cs="Calibri" w:eastAsia="Calibri" w:hAnsi="Calibri"/>
          <w:b w:val="false"/>
          <w:bCs w:val="false"/>
          <w:i w:val="false"/>
          <w:iCs w:val="false"/>
          <w:color w:val="1F2937"/>
          <w:sz w:val="21"/>
          <w:szCs w:val="21"/>
        </w:rPr>
        <w:t xml:space="preserve">Czas: 2 godziny lekcyjne. Zakres z ramowego programu: prawa i obowiązki pracowników i pracodawców oraz odpowiedzialność za naruszenie przepisów i zasad bhp, ochrona pracy kobiet i młodocianych, wypadki przy pracy i choroby zawodowe wraz ze świadczeniami, profilaktyczna ochrona zdrowia.</w:t>
      </w:r>
    </w:p>
    <w:p>
      <w:pPr>
        <w:spacing w:after="110" w:before="240"/>
      </w:pPr>
      <w:r>
        <w:rPr>
          <w:rFonts w:ascii="Calibri" w:cs="Calibri" w:eastAsia="Calibri" w:hAnsi="Calibri"/>
          <w:b/>
          <w:bCs/>
          <w:i w:val="false"/>
          <w:iCs w:val="false"/>
          <w:color w:val="0F172A"/>
          <w:sz w:val="23"/>
          <w:szCs w:val="23"/>
        </w:rPr>
        <w:t xml:space="preserve">1.1. Skąd bierze się obowiązek bhp</w:t>
      </w:r>
    </w:p>
    <w:p>
      <w:pPr>
        <w:spacing w:after="130" w:line="300"/>
        <w:jc w:val="both"/>
      </w:pPr>
      <w:r>
        <w:rPr>
          <w:rFonts w:ascii="Calibri" w:cs="Calibri" w:eastAsia="Calibri" w:hAnsi="Calibri"/>
          <w:b w:val="false"/>
          <w:bCs w:val="false"/>
          <w:i w:val="false"/>
          <w:iCs w:val="false"/>
          <w:color w:val="1F2937"/>
          <w:sz w:val="21"/>
          <w:szCs w:val="21"/>
        </w:rPr>
        <w:t xml:space="preserve">Punktem wyjścia jest art. 207 § 1 KP: pracodawca ponosi odpowiedzialność za stan bezpieczeństwa i higieny pracy w zakładzie pracy. Na zakres tej odpowiedzialności nie wpływają obowiązki pracowników w dziedzinie bhp ani powierzenie wykonywania zadań służby bhp specjalistom spoza zakładu. Zlecenie obsługi bhp firmie zewnętrznej nie przenosi więc odpowiedzialności; przenosi wykonanie zadań.</w:t>
      </w:r>
    </w:p>
    <w:p>
      <w:pPr>
        <w:spacing w:after="130" w:line="300"/>
        <w:jc w:val="both"/>
      </w:pPr>
      <w:r>
        <w:rPr>
          <w:rFonts w:ascii="Calibri" w:cs="Calibri" w:eastAsia="Calibri" w:hAnsi="Calibri"/>
          <w:b w:val="false"/>
          <w:bCs w:val="false"/>
          <w:i w:val="false"/>
          <w:iCs w:val="false"/>
          <w:color w:val="1F2937"/>
          <w:sz w:val="21"/>
          <w:szCs w:val="21"/>
        </w:rPr>
        <w:t xml:space="preserve">Art. 207 § 2 KP wylicza, na czym ten obowiązek polega: ochrona zdrowia i życia pracowników przez zapewnienie bezpiecznych i higienicznych warunków pracy przy odpowiednim wykorzystaniu osiągnięć nauki i techniki, organizowanie pracy w sposób zapewniający takie warunki, reagowanie na potrzeby w zakresie zapewnienia bhp oraz dostosowywanie środków do zmieniających się warunków, zapewnienie rozwoju spójnej polityki zapobiegającej wypadkom przy pracy i chorobom zawodowym, uwzględniającej zagadnienia techniczne, organizację pracy, warunki pracy, stosunki społeczne oraz wpływ czynników środowiska pracy, a także uwzględnianie ochrony zdrowia młodocianych, pracownic w ciąży lub karmiących dziecko piersią oraz pracowników niepełnosprawnych.</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Koszty działań w zakresie bezpieczeństwa i higieny pracy w żaden sposób nie mogą obciążać pracowników (art. 207 § 21 KP). To zdanie rozstrzyga spory o odzież, sprzęt, szkolenia i badania: płaci pracodawca.</w:t>
            </w:r>
          </w:p>
        </w:tc>
      </w:tr>
    </w:tbl>
    <w:p>
      <w:pPr>
        <w:spacing w:after="140"/>
      </w:pPr>
    </w:p>
    <w:p>
      <w:pPr>
        <w:spacing w:after="110" w:before="240"/>
      </w:pPr>
      <w:r>
        <w:rPr>
          <w:rFonts w:ascii="Calibri" w:cs="Calibri" w:eastAsia="Calibri" w:hAnsi="Calibri"/>
          <w:b/>
          <w:bCs/>
          <w:i w:val="false"/>
          <w:iCs w:val="false"/>
          <w:color w:val="0F172A"/>
          <w:sz w:val="23"/>
          <w:szCs w:val="23"/>
        </w:rPr>
        <w:t xml:space="preserve">1.2. Obowiązki pracownika</w:t>
      </w:r>
    </w:p>
    <w:p>
      <w:pPr>
        <w:spacing w:after="130" w:line="300"/>
        <w:jc w:val="both"/>
      </w:pPr>
      <w:r>
        <w:rPr>
          <w:rFonts w:ascii="Calibri" w:cs="Calibri" w:eastAsia="Calibri" w:hAnsi="Calibri"/>
          <w:b w:val="false"/>
          <w:bCs w:val="false"/>
          <w:i w:val="false"/>
          <w:iCs w:val="false"/>
          <w:color w:val="1F2937"/>
          <w:sz w:val="21"/>
          <w:szCs w:val="21"/>
        </w:rPr>
        <w:t xml:space="preserve">Art. 211 KP mówi wprost, że przestrzeganie przepisów i zasad bhp jest podstawowym obowiązkiem pracownika. Wylicza przy tym sześć powinności:</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znać przepisy i zasady bhp, brać udział w szkoleniu i instruktażu z tego zakresu oraz poddawać się wymaganym egzaminom sprawdzającym,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wykonywać pracę w sposób zgodny z przepisami i zasadami bhp oraz stosować się do wydawanych w tym zakresie poleceń i wskazówek przełożonych,</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dbać o należyty stan maszyn, urządzeń, narzędzi i sprzętu oraz o porządek i ład w miejscu pracy,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stosować środki ochrony zbiorowej, a także używać przydzielonych środków ochrony indywidualnej oraz odzieży i obuwia roboczego zgodnie z ich przeznaczeniem,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poddawać się wstępnym, okresowym i kontrolnym oraz innym zaleconym badaniom lekarskim i stosować się do wskazań lekarskich,</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niezwłocznie zawiadomić przełożonego o zauważonym w zakładzie pracy wypadku albo zagrożeniu życia lub zdrowia ludzkiego oraz ostrzec współpracowników i inne osoby znajdujące się w rejonie zagrożenia o grożącym im niebezpieczeństwie.</w:t>
      </w:r>
    </w:p>
    <w:p>
      <w:pPr>
        <w:spacing w:after="130" w:line="300"/>
        <w:jc w:val="both"/>
      </w:pPr>
      <w:r>
        <w:rPr>
          <w:rFonts w:ascii="Calibri" w:cs="Calibri" w:eastAsia="Calibri" w:hAnsi="Calibri"/>
          <w:b w:val="false"/>
          <w:bCs w:val="false"/>
          <w:i w:val="false"/>
          <w:iCs w:val="false"/>
          <w:color w:val="1F2937"/>
          <w:sz w:val="21"/>
          <w:szCs w:val="21"/>
        </w:rPr>
        <w:t xml:space="preserve">Pierwszy z tych punktów jest podstawą prawną tego szkolenia. Udział w szkoleniu nie jest uprawnieniem, z którego można zrezygnować, tylko obowiązkiem pracowniczym.</w:t>
      </w:r>
    </w:p>
    <w:p>
      <w:pPr>
        <w:spacing w:after="110" w:before="240"/>
      </w:pPr>
      <w:r>
        <w:rPr>
          <w:rFonts w:ascii="Calibri" w:cs="Calibri" w:eastAsia="Calibri" w:hAnsi="Calibri"/>
          <w:b/>
          <w:bCs/>
          <w:i w:val="false"/>
          <w:iCs w:val="false"/>
          <w:color w:val="0F172A"/>
          <w:sz w:val="23"/>
          <w:szCs w:val="23"/>
        </w:rPr>
        <w:t xml:space="preserve">1.3. Prawo do powstrzymania się od pracy</w:t>
      </w:r>
    </w:p>
    <w:p>
      <w:pPr>
        <w:spacing w:after="130" w:line="300"/>
        <w:jc w:val="both"/>
      </w:pPr>
      <w:r>
        <w:rPr>
          <w:rFonts w:ascii="Calibri" w:cs="Calibri" w:eastAsia="Calibri" w:hAnsi="Calibri"/>
          <w:b w:val="false"/>
          <w:bCs w:val="false"/>
          <w:i w:val="false"/>
          <w:iCs w:val="false"/>
          <w:color w:val="1F2937"/>
          <w:sz w:val="21"/>
          <w:szCs w:val="21"/>
        </w:rPr>
        <w:t xml:space="preserve">Art. 210 KP daje pracownikowi prawo, o którym w biurze rzadko się pamięta. Gdy warunki pracy nie odpowiadają przepisom bhp i stwarzają bezpośrednie zagrożenie dla zdrowia lub życia pracownika albo gdy wykonywana praca grozi takim niebezpieczeństwem innym osobom, pracownik ma prawo powstrzymać się od wykonywania pracy, zawiadamiając o tym niezwłocznie przełożonego. Jeżeli powstrzymanie się nie usuwa zagrożenia, ma prawo oddalić się z miejsca zagrożenia, również zawiadamiając przełożonego.</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Pracownik nie może ponosić jakichkolwiek niekorzystnych dla niego konsekwencji z powodu powstrzymania się od pracy lub oddalenia się z miejsca zagrożenia (art. 210 § 21 KP). W biurze przepis ten dotyczy najczęściej zadymienia, zapachu gazu, awarii instalacji elektrycznej i sytuacji, w których budynek nie nadaje się do przebywania.</w:t>
            </w:r>
          </w:p>
        </w:tc>
      </w:tr>
    </w:tbl>
    <w:p>
      <w:pPr>
        <w:spacing w:after="140"/>
      </w:pPr>
    </w:p>
    <w:p>
      <w:pPr>
        <w:spacing w:after="110" w:before="240"/>
      </w:pPr>
      <w:r>
        <w:rPr>
          <w:rFonts w:ascii="Calibri" w:cs="Calibri" w:eastAsia="Calibri" w:hAnsi="Calibri"/>
          <w:b/>
          <w:bCs/>
          <w:i w:val="false"/>
          <w:iCs w:val="false"/>
          <w:color w:val="0F172A"/>
          <w:sz w:val="23"/>
          <w:szCs w:val="23"/>
        </w:rPr>
        <w:t xml:space="preserve">1.4. Odpowiedzialność za naruszenie przepisów i zasad bhp</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2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Rodzaj odpowiedzialności</w:t>
            </w:r>
          </w:p>
        </w:tc>
        <w:tc>
          <w:tcPr>
            <w:tcW w:type="pct" w:w="2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Kogo dotyczy</w:t>
            </w:r>
          </w:p>
        </w:tc>
        <w:tc>
          <w:tcPr>
            <w:tcW w:type="pct" w:w="5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Podstawa i skutek</w:t>
            </w:r>
          </w:p>
        </w:tc>
      </w:tr>
      <w:tr>
        <w:tc>
          <w:tcPr>
            <w:tcW w:type="pct" w:w="2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Porządkowa</w:t>
            </w:r>
          </w:p>
        </w:tc>
        <w:tc>
          <w:tcPr>
            <w:tcW w:type="pct" w:w="2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Pracownika</w:t>
            </w:r>
          </w:p>
        </w:tc>
        <w:tc>
          <w:tcPr>
            <w:tcW w:type="pct" w:w="5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Art. 108 KP: upomnienie, nagana, a za nieprzestrzeganie przepisów bhp lub przepisów przeciwpożarowych także kara pieniężna.</w:t>
            </w:r>
          </w:p>
        </w:tc>
      </w:tr>
      <w:tr>
        <w:tc>
          <w:tcPr>
            <w:tcW w:type="pct" w:w="2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Wykroczeniowa</w:t>
            </w:r>
          </w:p>
        </w:tc>
        <w:tc>
          <w:tcPr>
            <w:tcW w:type="pct" w:w="2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Osoby odpowiedzialnej za stan bhp albo kierującej pracownikami</w:t>
            </w:r>
          </w:p>
        </w:tc>
        <w:tc>
          <w:tcPr>
            <w:tcW w:type="pct" w:w="5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Art. 283 § 1 KP: grzywna od 2000 do 60 000 zł. Kwota obowiązuje od 8 lipca 2026 r., wcześniej wynosiła od 1000 do 30 000 zł.</w:t>
            </w:r>
          </w:p>
        </w:tc>
      </w:tr>
      <w:tr>
        <w:tc>
          <w:tcPr>
            <w:tcW w:type="pct" w:w="2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Wykroczeniowa, inne czyny</w:t>
            </w:r>
          </w:p>
        </w:tc>
        <w:tc>
          <w:tcPr>
            <w:tcW w:type="pct" w:w="2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Pracodawcy i osoby działającej w jego imieniu</w:t>
            </w:r>
          </w:p>
        </w:tc>
        <w:tc>
          <w:tcPr>
            <w:tcW w:type="pct" w:w="5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Art. 281 i art. 282 KP, w tym za niezawiadomienie o wypadku przy pracy.</w:t>
            </w:r>
          </w:p>
        </w:tc>
      </w:tr>
      <w:tr>
        <w:tc>
          <w:tcPr>
            <w:tcW w:type="pct" w:w="2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Karna</w:t>
            </w:r>
          </w:p>
        </w:tc>
        <w:tc>
          <w:tcPr>
            <w:tcW w:type="pct" w:w="2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Osoby odpowiedzialnej za bhp</w:t>
            </w:r>
          </w:p>
        </w:tc>
        <w:tc>
          <w:tcPr>
            <w:tcW w:type="pct" w:w="5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Art. 220 Kodeksu karnego: narażenie pracownika na bezpośrednie niebezpieczeństwo utraty życia albo ciężkiego uszczerbku na zdrowiu.</w:t>
            </w:r>
          </w:p>
        </w:tc>
      </w:tr>
      <w:tr>
        <w:tc>
          <w:tcPr>
            <w:tcW w:type="pct" w:w="2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Cywilna</w:t>
            </w:r>
          </w:p>
        </w:tc>
        <w:tc>
          <w:tcPr>
            <w:tcW w:type="pct" w:w="2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Pracodawcy</w:t>
            </w:r>
          </w:p>
        </w:tc>
        <w:tc>
          <w:tcPr>
            <w:tcW w:type="pct" w:w="5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Roszczenia uzupełniające poszkodowanego ponad świadczenia z ubezpieczenia wypadkowego.</w:t>
            </w:r>
          </w:p>
        </w:tc>
      </w:tr>
    </w:tbl>
    <w:p>
      <w:pPr>
        <w:spacing w:after="160"/>
      </w:pPr>
    </w:p>
    <w:p>
      <w:pPr>
        <w:spacing w:after="110" w:before="240"/>
      </w:pPr>
      <w:r>
        <w:rPr>
          <w:rFonts w:ascii="Calibri" w:cs="Calibri" w:eastAsia="Calibri" w:hAnsi="Calibri"/>
          <w:b/>
          <w:bCs/>
          <w:i w:val="false"/>
          <w:iCs w:val="false"/>
          <w:color w:val="0F172A"/>
          <w:sz w:val="23"/>
          <w:szCs w:val="23"/>
        </w:rPr>
        <w:t xml:space="preserve">1.5. Ochrona pracy kobiet i pracowników młodocianych</w:t>
      </w:r>
    </w:p>
    <w:p>
      <w:pPr>
        <w:spacing w:after="130" w:line="300"/>
        <w:jc w:val="both"/>
      </w:pPr>
      <w:r>
        <w:rPr>
          <w:rFonts w:ascii="Calibri" w:cs="Calibri" w:eastAsia="Calibri" w:hAnsi="Calibri"/>
          <w:b w:val="false"/>
          <w:bCs w:val="false"/>
          <w:i w:val="false"/>
          <w:iCs w:val="false"/>
          <w:color w:val="1F2937"/>
          <w:sz w:val="21"/>
          <w:szCs w:val="21"/>
        </w:rPr>
        <w:t xml:space="preserve">Kodeks pracy zakazuje zatrudniania kobiet przy pracach uciążliwych, niebezpiecznych lub szkodliwych dla zdrowia, mogących mieć niekorzystny wpływ na ich zdrowie, przebieg ciąży lub karmienie dziecka piersią. Wykaz takich prac określa rozporządzenie Rady Ministrów. W pracy biurowej dotyczy to przede wszystkim ograniczeń dla pracownic w ciąży przy pracy przy monitorach ekranowych oraz ograniczeń dźwigania.</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Pracownicy w ciąży nie wolno zatrudniać w godzinach nadliczbowych ani w porze nocnej, a bez jej zgody nie wolno delegować poza stałe miejsce pracy ani zatrudniać w systemie przerywanego czasu pracy (art. 178 § 1 KP). Ten sam przepis chroni pracownika opiekującego się dzieckiem do ukończenia przez nie 4 roku życia, ale tu wymagana jest jego zgoda.</w:t>
            </w:r>
          </w:p>
        </w:tc>
      </w:tr>
    </w:tbl>
    <w:p>
      <w:pPr>
        <w:spacing w:after="140"/>
      </w:pPr>
    </w:p>
    <w:p>
      <w:pPr>
        <w:spacing w:after="130" w:line="300"/>
        <w:jc w:val="both"/>
      </w:pPr>
      <w:r>
        <w:rPr>
          <w:rFonts w:ascii="Calibri" w:cs="Calibri" w:eastAsia="Calibri" w:hAnsi="Calibri"/>
          <w:b w:val="false"/>
          <w:bCs w:val="false"/>
          <w:i w:val="false"/>
          <w:iCs w:val="false"/>
          <w:color w:val="1F2937"/>
          <w:sz w:val="21"/>
          <w:szCs w:val="21"/>
        </w:rPr>
        <w:t xml:space="preserve">Młodociany to osoba, która ukończyła 15 lat, a nie przekroczyła 18 lat (art. 190 § 1 KP). W biurze młodociani pojawiają się przy pracach lekkich i przy przygotowaniu zawodowym. Wykaz prac lekkich ustala pracodawca, po uzyskaniu zgody lekarza wykonującego zadania służby medycyny pracy, a wykaz wymaga zatwierdzenia przez właściwego inspektora pracy (art. 2001 KP). To jedyny wykaz w prawie pracy zatwierdzany przez inspektora.</w:t>
      </w:r>
    </w:p>
    <w:p>
      <w:pPr>
        <w:spacing w:after="110" w:before="240"/>
      </w:pPr>
      <w:r>
        <w:rPr>
          <w:rFonts w:ascii="Calibri" w:cs="Calibri" w:eastAsia="Calibri" w:hAnsi="Calibri"/>
          <w:b/>
          <w:bCs/>
          <w:i w:val="false"/>
          <w:iCs w:val="false"/>
          <w:color w:val="0F172A"/>
          <w:sz w:val="23"/>
          <w:szCs w:val="23"/>
        </w:rPr>
        <w:t xml:space="preserve">1.6. Wypadki przy pracy i choroby zawodowe</w:t>
      </w:r>
    </w:p>
    <w:p>
      <w:pPr>
        <w:spacing w:after="130" w:line="300"/>
        <w:jc w:val="both"/>
      </w:pPr>
      <w:r>
        <w:rPr>
          <w:rFonts w:ascii="Calibri" w:cs="Calibri" w:eastAsia="Calibri" w:hAnsi="Calibri"/>
          <w:b w:val="false"/>
          <w:bCs w:val="false"/>
          <w:i w:val="false"/>
          <w:iCs w:val="false"/>
          <w:color w:val="1F2937"/>
          <w:sz w:val="21"/>
          <w:szCs w:val="21"/>
        </w:rPr>
        <w:t xml:space="preserve">Wypadek przy pracy to zdarzenie nagłe, wywołane przyczyną zewnętrzną, powodujące uraz albo śmierć, które nastąpiło w związku z pracą. Wszystkie cztery przesłanki muszą wystąpić naraz; brak którejkolwiek oznacza, że zdarzenie nie jest wypadkiem przy pracy.</w:t>
      </w:r>
    </w:p>
    <w:p>
      <w:pPr>
        <w:spacing w:after="130" w:line="300"/>
        <w:jc w:val="both"/>
      </w:pPr>
      <w:r>
        <w:rPr>
          <w:rFonts w:ascii="Calibri" w:cs="Calibri" w:eastAsia="Calibri" w:hAnsi="Calibri"/>
          <w:b w:val="false"/>
          <w:bCs w:val="false"/>
          <w:i w:val="false"/>
          <w:iCs w:val="false"/>
          <w:color w:val="1F2937"/>
          <w:sz w:val="21"/>
          <w:szCs w:val="21"/>
        </w:rPr>
        <w:t xml:space="preserve">Obowiązki pracodawcy po wypadku wynikają z art. 234 KP: podjąć niezbędne działania eliminujące lub ograniczające zagrożenie, zapewnić udzielenie pierwszej pomocy osobom poszkodowanym i ustalić w przewidzianym trybie okoliczności i przyczyny wypadku, a także zastosować odpowiednie środki zapobiegające podobnym wypadkom. O wypadku śmiertelnym, ciężkim i zbiorowym pracodawca niezwłocznie zawiadamia właściwego okręgowego inspektora pracy i prokuratora.</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Obowiązek pracownika jest prostszy i dotyczy każdego: niezwłocznie zawiadomić przełożonego o zauważonym wypadku albo zagrożeniu i ostrzec osoby w rejonie zagrożenia. Zgłoszenie po tygodniu, gdy okaże się, że uraz jest poważniejszy niż wyglądał, utrudnia ustalenie okoliczności i bywa powodem sporu.</w:t>
            </w:r>
          </w:p>
        </w:tc>
      </w:tr>
    </w:tbl>
    <w:p>
      <w:pPr>
        <w:spacing w:after="140"/>
      </w:pPr>
    </w:p>
    <w:p>
      <w:pPr>
        <w:spacing w:after="130" w:line="300"/>
        <w:jc w:val="both"/>
      </w:pPr>
      <w:r>
        <w:rPr>
          <w:rFonts w:ascii="Calibri" w:cs="Calibri" w:eastAsia="Calibri" w:hAnsi="Calibri"/>
          <w:b w:val="false"/>
          <w:bCs w:val="false"/>
          <w:i w:val="false"/>
          <w:iCs w:val="false"/>
          <w:color w:val="1F2937"/>
          <w:sz w:val="21"/>
          <w:szCs w:val="21"/>
        </w:rPr>
        <w:t xml:space="preserve">Choroba zawodowa to choroba wymieniona w wykazie chorób zawodowych, jeżeli w wyniku oceny warunków pracy można stwierdzić bezspornie lub z wysokim prawdopodobieństwem, że została spowodowana działaniem czynników szkodliwych dla zdrowia występujących w środowisku pracy albo w związku ze sposobem wykonywania pracy. W pracy biurowej rozpoznawane bywają choroby narządu głosu u nauczycieli oraz zespoły przeciążeniowe.</w:t>
      </w:r>
    </w:p>
    <w:p>
      <w:pPr>
        <w:spacing w:after="110" w:before="240"/>
      </w:pPr>
      <w:r>
        <w:rPr>
          <w:rFonts w:ascii="Calibri" w:cs="Calibri" w:eastAsia="Calibri" w:hAnsi="Calibri"/>
          <w:b/>
          <w:bCs/>
          <w:i w:val="false"/>
          <w:iCs w:val="false"/>
          <w:color w:val="0F172A"/>
          <w:sz w:val="23"/>
          <w:szCs w:val="23"/>
        </w:rPr>
        <w:t xml:space="preserve">1.7. Profilaktyczna ochrona zdrowia</w:t>
      </w:r>
    </w:p>
    <w:p>
      <w:pPr>
        <w:spacing w:after="130" w:line="300"/>
        <w:jc w:val="both"/>
      </w:pPr>
      <w:r>
        <w:rPr>
          <w:rFonts w:ascii="Calibri" w:cs="Calibri" w:eastAsia="Calibri" w:hAnsi="Calibri"/>
          <w:b w:val="false"/>
          <w:bCs w:val="false"/>
          <w:i w:val="false"/>
          <w:iCs w:val="false"/>
          <w:color w:val="1F2937"/>
          <w:sz w:val="21"/>
          <w:szCs w:val="21"/>
        </w:rPr>
        <w:t xml:space="preserve">Art. 229 KP dzieli badania na wstępne, okresowe i kontrolne. Wstępnym podlegają osoby przyjmowane do pracy oraz pracownicy przenoszeni na stanowiska, na których występują czynniki szkodliwe dla zdrowia lub warunki uciążliwe. Badaniom kontrolnym podlega pracownik po niezdolności do pracy trwającej dłużej niż 30 dni, spowodowanej chorobą.</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Wstępnym badaniom nie podlega osoba przyjmowana ponownie do pracy u tego samego pracodawcy na to samo stanowisko lub na stanowisko o takich samych warunkach pracy w ciągu 30 dni po rozwiązaniu lub wygaśnięciu poprzedniego stosunku pracy. Podobnie przy zmianie pracodawcy w ciągu 30 dni, jeżeli pracownik ma aktualne orzeczenie z opisem warunków pracy odpowiadających nowemu stanowisku (art. 229 § 11 KP).</w:t>
            </w:r>
          </w:p>
        </w:tc>
      </w:tr>
    </w:tbl>
    <w:p>
      <w:pPr>
        <w:spacing w:after="140"/>
      </w:pPr>
    </w:p>
    <w:p>
      <w:pPr>
        <w:spacing w:after="130" w:line="300"/>
        <w:jc w:val="both"/>
      </w:pPr>
      <w:r>
        <w:rPr>
          <w:rFonts w:ascii="Calibri" w:cs="Calibri" w:eastAsia="Calibri" w:hAnsi="Calibri"/>
          <w:b w:val="false"/>
          <w:bCs w:val="false"/>
          <w:i w:val="false"/>
          <w:iCs w:val="false"/>
          <w:color w:val="1F2937"/>
          <w:sz w:val="21"/>
          <w:szCs w:val="21"/>
        </w:rPr>
        <w:t xml:space="preserve">Badania profilaktyczne przeprowadza się na koszt pracodawcy i w miarę możliwości w godzinach pracy. Pracodawca przechowuje orzeczenia wydane na podstawie tych badań.</w:t>
      </w:r>
    </w:p>
    <w:p>
      <w:pPr>
        <w:spacing w:after="110" w:before="240"/>
      </w:pPr>
      <w:r>
        <w:rPr>
          <w:rFonts w:ascii="Calibri" w:cs="Calibri" w:eastAsia="Calibri" w:hAnsi="Calibri"/>
          <w:b/>
          <w:bCs/>
          <w:i w:val="false"/>
          <w:iCs w:val="false"/>
          <w:color w:val="0F172A"/>
          <w:sz w:val="23"/>
          <w:szCs w:val="23"/>
        </w:rPr>
        <w:t xml:space="preserve">1.8. System szkoleń bhp w pigułce</w:t>
      </w:r>
    </w:p>
    <w:p>
      <w:pPr>
        <w:spacing w:after="130" w:line="300"/>
        <w:jc w:val="both"/>
      </w:pPr>
      <w:r>
        <w:rPr>
          <w:rFonts w:ascii="Calibri" w:cs="Calibri" w:eastAsia="Calibri" w:hAnsi="Calibri"/>
          <w:b w:val="false"/>
          <w:bCs w:val="false"/>
          <w:i w:val="false"/>
          <w:iCs w:val="false"/>
          <w:color w:val="1F2937"/>
          <w:sz w:val="21"/>
          <w:szCs w:val="21"/>
        </w:rPr>
        <w:t xml:space="preserve">Szkolenie, które właśnie przerabiasz, jest jednym z dwóch rodzajów przewidzianych w przepisach. Warto wiedzieć, gdzie się ono mieści.</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gridCol w:w="100"/>
      </w:tblGrid>
      <w:tr>
        <w:trPr>
          <w:tblHeader/>
        </w:trPr>
        <w:tc>
          <w:tcPr>
            <w:tcW w:type="pct" w:w="2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Rodzaj</w:t>
            </w:r>
          </w:p>
        </w:tc>
        <w:tc>
          <w:tcPr>
            <w:tcW w:type="pct" w:w="30%"/>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Kiedy</w:t>
            </w:r>
          </w:p>
        </w:tc>
        <w:tc>
          <w:tcPr>
            <w:tcW w:type="pct" w:w="2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Forma</w:t>
            </w:r>
          </w:p>
        </w:tc>
        <w:tc>
          <w:tcPr>
            <w:tcW w:type="pct" w:w="18%"/>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Co zostaje</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Szkolenie wstępne: instruktaż ogólny</w:t>
            </w:r>
          </w:p>
        </w:tc>
        <w:tc>
          <w:tcPr>
            <w:tcW w:type="pct" w:w="3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Przed dopuszczeniem do pracy</w:t>
            </w:r>
          </w:p>
        </w:tc>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Instruktaż, nie krócej niż 2 godziny lekcyjne</w:t>
            </w:r>
          </w:p>
        </w:tc>
        <w:tc>
          <w:tcPr>
            <w:tcW w:type="pct" w:w="1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Karta szkolenia wstępnego</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Szkolenie wstępne: instruktaż stanowiskowy</w:t>
            </w:r>
          </w:p>
        </w:tc>
        <w:tc>
          <w:tcPr>
            <w:tcW w:type="pct" w:w="30%"/>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Przed dopuszczeniem do pracy na stanowisku robotniczym albo z narażeniem</w:t>
            </w:r>
          </w:p>
        </w:tc>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Instruktaż zakończony sprawdzianem</w:t>
            </w:r>
          </w:p>
        </w:tc>
        <w:tc>
          <w:tcPr>
            <w:tcW w:type="pct" w:w="1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Karta szkolenia wstępnego</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Szkolenie okresowe, stanowiska administracyjno-biurowe</w:t>
            </w:r>
          </w:p>
        </w:tc>
        <w:tc>
          <w:tcPr>
            <w:tcW w:type="pct" w:w="3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Pierwsze do 12 miesięcy od rozpoczęcia pracy na stanowisku, potem nie rzadziej niż raz na 6 lat</w:t>
            </w:r>
          </w:p>
        </w:tc>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Kurs, seminarium albo samokształcenie kierowane</w:t>
            </w:r>
          </w:p>
        </w:tc>
        <w:tc>
          <w:tcPr>
            <w:tcW w:type="pct" w:w="1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Zaświadczenie, odpis w aktach osobowych</w:t>
            </w:r>
          </w:p>
        </w:tc>
      </w:tr>
    </w:tbl>
    <w:p>
      <w:pPr>
        <w:spacing w:after="160"/>
      </w:pP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Obowiązek szkolenia okresowego na stanowisku administracyjno-biurowym może w ogóle nie występować. Znika, gdy przeważająca działalność pracodawcy mieści się w grupie o kategorii ryzyka nie wyższej niż trzecia, chyba że z oceny ryzyka wynika, że szkolenie jest konieczne. Nie dotyczy to pracowników wykonujących pracę zdalną.</w:t>
            </w:r>
          </w:p>
        </w:tc>
      </w:tr>
    </w:tbl>
    <w:p>
      <w:pPr>
        <w:spacing w:after="140"/>
      </w:pPr>
    </w:p>
    <w:p>
      <w:pPr>
        <w:spacing w:after="130" w:line="300"/>
        <w:jc w:val="both"/>
      </w:pPr>
      <w:r>
        <w:rPr>
          <w:rFonts w:ascii="Calibri" w:cs="Calibri" w:eastAsia="Calibri" w:hAnsi="Calibri"/>
          <w:b w:val="false"/>
          <w:bCs w:val="false"/>
          <w:i w:val="false"/>
          <w:iCs w:val="false"/>
          <w:color w:val="1F2937"/>
          <w:sz w:val="21"/>
          <w:szCs w:val="21"/>
        </w:rPr>
        <w:t xml:space="preserve">Od 12 grudnia 2025 r. odbycie instruktażu potwierdza się w postaci papierowej albo elektronicznej. Przy postaci elektronicznej pracodawca sporządza w karcie szkolenia wstępnego adnotację w miejscu przeznaczonym na podpis i dołącza do niej dokumenty elektroniczne albo ich odwzorowanie. Karta wraz z załącznikami jest przechowywana w aktach osobowych pracownika.</w:t>
      </w:r>
    </w:p>
    <w:p>
      <w:pPr>
        <w:spacing w:after="110" w:before="240"/>
      </w:pPr>
      <w:r>
        <w:rPr>
          <w:rFonts w:ascii="Calibri" w:cs="Calibri" w:eastAsia="Calibri" w:hAnsi="Calibri"/>
          <w:b/>
          <w:bCs/>
          <w:i w:val="false"/>
          <w:iCs w:val="false"/>
          <w:color w:val="0F172A"/>
          <w:sz w:val="23"/>
          <w:szCs w:val="23"/>
        </w:rPr>
        <w:t xml:space="preserve">1.9. Obowiązki osoby kierującej pracownikami</w:t>
      </w:r>
    </w:p>
    <w:p>
      <w:pPr>
        <w:spacing w:after="130" w:line="300"/>
        <w:jc w:val="both"/>
      </w:pPr>
      <w:r>
        <w:rPr>
          <w:rFonts w:ascii="Calibri" w:cs="Calibri" w:eastAsia="Calibri" w:hAnsi="Calibri"/>
          <w:b w:val="false"/>
          <w:bCs w:val="false"/>
          <w:i w:val="false"/>
          <w:iCs w:val="false"/>
          <w:color w:val="1F2937"/>
          <w:sz w:val="21"/>
          <w:szCs w:val="21"/>
        </w:rPr>
        <w:t xml:space="preserve">Jeżeli kierujesz choćby jedną osobą, obowiązuje Cię art. 212 KP, a nie tylko art. 211. Osoba kierująca pracownikami jest obowiązana: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organizować stanowiska pracy zgodnie z przepisami i zasadami bhp,</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dbać o sprawność środków ochrony indywidualnej oraz ich stosowanie zgodnie z przeznaczeniem,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organizować, przygotowywać i prowadzić prace, uwzględniając zabezpieczenie pracowników przed wypadkami przy pracy, chorobami zawodowymi i innymi chorobami związanymi z warunkami środowiska pracy,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dbać o bezpieczny i higieniczny stan pomieszczeń pracy i wyposażenia technicznego, a także o sprawność środków ochrony zbiorowej i ich stosowanie zgodnie z przeznaczeniem,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egzekwować przestrzeganie przez pracowników przepisów i zasad bhp,</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zapewniać wykonanie zaleceń lekarza sprawującego opiekę zdrowotną nad pracownikami.</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Osoba kierująca pracownikami należy do pierwszej grupy stanowisk, a nie do administracyjno-biurowej. Oznacza to pierwsze szkolenie okresowe do 6 miesięcy od rozpoczęcia pracy na tym stanowisku i powtarzanie nie rzadziej niż raz na 5 lat. Awans na kierownika zespołu zmienia więc obowiązki szkoleniowe, nawet gdy biurko zostaje to samo.</w:t>
            </w:r>
          </w:p>
        </w:tc>
      </w:tr>
    </w:tbl>
    <w:p>
      <w:pPr>
        <w:spacing w:after="140"/>
      </w:pPr>
    </w:p>
    <w:p>
      <w:pPr>
        <w:spacing w:after="110" w:before="240"/>
      </w:pPr>
      <w:r>
        <w:rPr>
          <w:rFonts w:ascii="Calibri" w:cs="Calibri" w:eastAsia="Calibri" w:hAnsi="Calibri"/>
          <w:b/>
          <w:bCs/>
          <w:i w:val="false"/>
          <w:iCs w:val="false"/>
          <w:color w:val="0F172A"/>
          <w:sz w:val="23"/>
          <w:szCs w:val="23"/>
        </w:rPr>
        <w:t xml:space="preserve">1.10. Kto w firmie zajmuje się bhp</w:t>
      </w:r>
    </w:p>
    <w:p>
      <w:pPr>
        <w:spacing w:after="130" w:line="300"/>
        <w:jc w:val="both"/>
      </w:pPr>
      <w:r>
        <w:rPr>
          <w:rFonts w:ascii="Calibri" w:cs="Calibri" w:eastAsia="Calibri" w:hAnsi="Calibri"/>
          <w:b w:val="false"/>
          <w:bCs w:val="false"/>
          <w:i w:val="false"/>
          <w:iCs w:val="false"/>
          <w:color w:val="1F2937"/>
          <w:sz w:val="21"/>
          <w:szCs w:val="21"/>
        </w:rPr>
        <w:t xml:space="preserve">Pracodawca zatrudniający więcej niż 100 pracowników tworzy służbę bhp, pełniącą funkcje doradcze i kontrolne. Pracodawca zatrudniający do 100 pracowników powierza wykonywanie zadań tej służby pracownikowi zatrudnionemu przy innej pracy.</w:t>
      </w:r>
    </w:p>
    <w:p>
      <w:pPr>
        <w:spacing w:after="130" w:line="300"/>
        <w:jc w:val="both"/>
      </w:pPr>
      <w:r>
        <w:rPr>
          <w:rFonts w:ascii="Calibri" w:cs="Calibri" w:eastAsia="Calibri" w:hAnsi="Calibri"/>
          <w:b w:val="false"/>
          <w:bCs w:val="false"/>
          <w:i w:val="false"/>
          <w:iCs w:val="false"/>
          <w:color w:val="1F2937"/>
          <w:sz w:val="21"/>
          <w:szCs w:val="21"/>
        </w:rPr>
        <w:t xml:space="preserve">Pracodawca, który ukończył szkolenie niezbędne do wykonywania zadań służby bhp, może sam wykonywać te zadania, jeżeli zatrudnia do 10 pracowników albo zatrudnia do 50 pracowników i jest zakwalifikowany do grupy działalności o kategorii ryzyka nie wyższej niż trzecia. W razie braku kompetentnych pracowników pracodawca może powierzyć zadania służby bhp specjalistom spoza zakładu pracy.</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Ta sama kategoria ryzyka wraca w dwóch różnych przepisach i łatwo je pomylić. Kategoria nie wyższa niż trzecia decyduje o tym, czy pracodawca może sam wykonywać zadania służby bhp (art. 237</w:t>
            </w:r>
            <w:r>
              <w:rPr>
                <w:rFonts w:ascii="Calibri" w:cs="Calibri" w:eastAsia="Calibri" w:hAnsi="Calibri"/>
                <w:b/>
                <w:bCs/>
                <w:i w:val="false"/>
                <w:iCs w:val="false"/>
                <w:color w:val="1F2937"/>
                <w:sz w:val="20"/>
                <w:szCs w:val="20"/>
              </w:rPr>
              <w:t xml:space="preserve">11</w:t>
            </w:r>
            <w:r>
              <w:rPr>
                <w:rFonts w:ascii="Calibri" w:cs="Calibri" w:eastAsia="Calibri" w:hAnsi="Calibri"/>
                <w:b w:val="false"/>
                <w:bCs w:val="false"/>
                <w:i w:val="false"/>
                <w:iCs w:val="false"/>
                <w:color w:val="1F2937"/>
                <w:sz w:val="20"/>
                <w:szCs w:val="20"/>
              </w:rPr>
              <w:t xml:space="preserve"> § 1 KP), a osobno o tym, czy pracownicy na stanowiskach administracyjno-biurowych są zwolnieni ze szkolenia okresowego (art. 237</w:t>
            </w:r>
            <w:r>
              <w:rPr>
                <w:rFonts w:ascii="Calibri" w:cs="Calibri" w:eastAsia="Calibri" w:hAnsi="Calibri"/>
                <w:b/>
                <w:bCs/>
                <w:i w:val="false"/>
                <w:iCs w:val="false"/>
                <w:color w:val="1F2937"/>
                <w:sz w:val="20"/>
                <w:szCs w:val="20"/>
              </w:rPr>
              <w:t xml:space="preserve">3</w:t>
            </w:r>
            <w:r>
              <w:rPr>
                <w:rFonts w:ascii="Calibri" w:cs="Calibri" w:eastAsia="Calibri" w:hAnsi="Calibri"/>
                <w:b w:val="false"/>
                <w:bCs w:val="false"/>
                <w:i w:val="false"/>
                <w:iCs w:val="false"/>
                <w:color w:val="1F2937"/>
                <w:sz w:val="20"/>
                <w:szCs w:val="20"/>
              </w:rPr>
              <w:t xml:space="preserve"> § 2</w:t>
            </w:r>
            <w:r>
              <w:rPr>
                <w:rFonts w:ascii="Calibri" w:cs="Calibri" w:eastAsia="Calibri" w:hAnsi="Calibri"/>
                <w:b/>
                <w:bCs/>
                <w:i w:val="false"/>
                <w:iCs w:val="false"/>
                <w:color w:val="1F2937"/>
                <w:sz w:val="20"/>
                <w:szCs w:val="20"/>
              </w:rPr>
              <w:t xml:space="preserve">2</w:t>
            </w:r>
            <w:r>
              <w:rPr>
                <w:rFonts w:ascii="Calibri" w:cs="Calibri" w:eastAsia="Calibri" w:hAnsi="Calibri"/>
                <w:b w:val="false"/>
                <w:bCs w:val="false"/>
                <w:i w:val="false"/>
                <w:iCs w:val="false"/>
                <w:color w:val="1F2937"/>
                <w:sz w:val="20"/>
                <w:szCs w:val="20"/>
              </w:rPr>
              <w:t xml:space="preserve"> KP). To dwa niezależne skutki tego samego wskaźnika.</w:t>
            </w:r>
          </w:p>
        </w:tc>
      </w:tr>
    </w:tbl>
    <w:p>
      <w:pPr>
        <w:spacing w:after="140"/>
      </w:pPr>
    </w:p>
    <w:p>
      <w:pPr>
        <w:spacing w:after="130" w:line="300"/>
        <w:jc w:val="both"/>
      </w:pPr>
      <w:r>
        <w:rPr>
          <w:rFonts w:ascii="Calibri" w:cs="Calibri" w:eastAsia="Calibri" w:hAnsi="Calibri"/>
          <w:b w:val="false"/>
          <w:bCs w:val="false"/>
          <w:i w:val="false"/>
          <w:iCs w:val="false"/>
          <w:color w:val="1F2937"/>
          <w:sz w:val="21"/>
          <w:szCs w:val="21"/>
        </w:rPr>
        <w:t xml:space="preserve">Do kogo zgłaszać sprawy bhp w praktyce: w pierwszej kolejności do bezpośredniego przełożonego, bo to on odpowiada za organizację stanowisk pracy. Sprawy wymagające wiedzy specjalistycznej trafiają do służby bhp albo do osoby wykonującej jej zadania. Sprawy nierozwiązane można zgłosić społecznemu inspektorowi pracy, jeżeli działa w zakładzie, albo Państwowej Inspekcji Pracy.</w:t>
      </w:r>
    </w:p>
    <w:p>
      <w:pPr>
        <w:spacing w:after="60" w:before="150"/>
      </w:pPr>
      <w:r>
        <w:rPr>
          <w:rFonts w:ascii="Calibri" w:cs="Calibri" w:eastAsia="Calibri" w:hAnsi="Calibri"/>
          <w:b/>
          <w:bCs/>
          <w:i w:val="false"/>
          <w:iCs w:val="false"/>
          <w:color w:val="1F2937"/>
          <w:sz w:val="20"/>
          <w:szCs w:val="20"/>
        </w:rPr>
        <w:t xml:space="preserve">Pytanie kontrolne: Czy pracodawca może przenieść odpowiedzialność za stan bhp na firmę zewnętrzną obsługującą zakład?</w:t>
      </w:r>
    </w:p>
    <w:p>
      <w:pPr>
        <w:spacing w:after="120" w:line="290"/>
        <w:jc w:val="both"/>
      </w:pPr>
      <w:r>
        <w:rPr>
          <w:rFonts w:ascii="Calibri" w:cs="Calibri" w:eastAsia="Calibri" w:hAnsi="Calibri"/>
          <w:b w:val="false"/>
          <w:bCs w:val="false"/>
          <w:i/>
          <w:iCs/>
          <w:color w:val="595959"/>
          <w:sz w:val="20"/>
          <w:szCs w:val="20"/>
        </w:rPr>
        <w:t xml:space="preserve">Odpowiedź: Nie. Art. 207 § 1 KP mówi wprost, że na zakres odpowiedzialności pracodawcy nie wpływa powierzenie wykonywania zadań służby bhp specjalistom spoza zakładu pracy.</w:t>
      </w:r>
    </w:p>
    <w:p>
      <w:pPr>
        <w:spacing w:after="60" w:before="150"/>
      </w:pPr>
      <w:r>
        <w:rPr>
          <w:rFonts w:ascii="Calibri" w:cs="Calibri" w:eastAsia="Calibri" w:hAnsi="Calibri"/>
          <w:b/>
          <w:bCs/>
          <w:i w:val="false"/>
          <w:iCs w:val="false"/>
          <w:color w:val="1F2937"/>
          <w:sz w:val="20"/>
          <w:szCs w:val="20"/>
        </w:rPr>
        <w:t xml:space="preserve">Pytanie kontrolne: Jaka jest górna granica grzywny za nieprzestrzeganie przepisów lub zasad bhp?</w:t>
      </w:r>
    </w:p>
    <w:p>
      <w:pPr>
        <w:spacing w:after="120" w:line="290"/>
        <w:jc w:val="both"/>
      </w:pPr>
      <w:r>
        <w:rPr>
          <w:rFonts w:ascii="Calibri" w:cs="Calibri" w:eastAsia="Calibri" w:hAnsi="Calibri"/>
          <w:b w:val="false"/>
          <w:bCs w:val="false"/>
          <w:i/>
          <w:iCs/>
          <w:color w:val="595959"/>
          <w:sz w:val="20"/>
          <w:szCs w:val="20"/>
        </w:rPr>
        <w:t xml:space="preserve">Odpowiedź: 60 000 zł. Przedział wynosi od 2000 do 60 000 zł i obowiązuje od 8 lipca 2026 r. (art. 283 § 1 KP).</w:t>
      </w:r>
    </w:p>
    <w:p>
      <w:pPr>
        <w:spacing w:after="60" w:before="150"/>
      </w:pPr>
      <w:r>
        <w:rPr>
          <w:rFonts w:ascii="Calibri" w:cs="Calibri" w:eastAsia="Calibri" w:hAnsi="Calibri"/>
          <w:b/>
          <w:bCs/>
          <w:i w:val="false"/>
          <w:iCs w:val="false"/>
          <w:color w:val="1F2937"/>
          <w:sz w:val="20"/>
          <w:szCs w:val="20"/>
        </w:rPr>
        <w:t xml:space="preserve">Pytanie kontrolne: Po ilu dniach choroby pracownik podlega badaniom kontrolnym?</w:t>
      </w:r>
    </w:p>
    <w:p>
      <w:pPr>
        <w:spacing w:after="120" w:line="290"/>
        <w:jc w:val="both"/>
      </w:pPr>
      <w:r>
        <w:rPr>
          <w:rFonts w:ascii="Calibri" w:cs="Calibri" w:eastAsia="Calibri" w:hAnsi="Calibri"/>
          <w:b w:val="false"/>
          <w:bCs w:val="false"/>
          <w:i/>
          <w:iCs/>
          <w:color w:val="595959"/>
          <w:sz w:val="20"/>
          <w:szCs w:val="20"/>
        </w:rPr>
        <w:t xml:space="preserve">Odpowiedź: Po niezdolności do pracy trwającej dłużej niż 30 dni, spowodowanej chorobą (art. 229 § 2 KP).</w:t>
      </w:r>
    </w:p>
    <w:p>
      <w:pPr>
        <w:spacing w:after="60" w:before="150"/>
      </w:pPr>
      <w:r>
        <w:rPr>
          <w:rFonts w:ascii="Calibri" w:cs="Calibri" w:eastAsia="Calibri" w:hAnsi="Calibri"/>
          <w:b/>
          <w:bCs/>
          <w:i w:val="false"/>
          <w:iCs w:val="false"/>
          <w:color w:val="1F2937"/>
          <w:sz w:val="20"/>
          <w:szCs w:val="20"/>
        </w:rPr>
        <w:t xml:space="preserve">Pytanie kontrolne: Kto zatwierdza wykaz prac lekkich dla młodocianych?</w:t>
      </w:r>
    </w:p>
    <w:p>
      <w:pPr>
        <w:spacing w:after="120" w:line="290"/>
        <w:jc w:val="both"/>
      </w:pPr>
      <w:r>
        <w:rPr>
          <w:rFonts w:ascii="Calibri" w:cs="Calibri" w:eastAsia="Calibri" w:hAnsi="Calibri"/>
          <w:b w:val="false"/>
          <w:bCs w:val="false"/>
          <w:i/>
          <w:iCs/>
          <w:color w:val="595959"/>
          <w:sz w:val="20"/>
          <w:szCs w:val="20"/>
        </w:rPr>
        <w:t xml:space="preserve">Odpowiedź: Właściwy inspektor pracy, po uprzedniej zgodzie lekarza wykonującego zadania służby medycyny pracy (art. 2001 KP).</w:t>
      </w:r>
    </w:p>
    <w:p>
      <w:pPr>
        <w:spacing w:after="180" w:before="320"/>
      </w:pPr>
      <w:r>
        <w:rPr>
          <w:rFonts w:ascii="Calibri" w:cs="Calibri" w:eastAsia="Calibri" w:hAnsi="Calibri"/>
          <w:b/>
          <w:bCs/>
          <w:i w:val="false"/>
          <w:iCs w:val="false"/>
          <w:color w:val="0F172A"/>
          <w:sz w:val="28"/>
          <w:szCs w:val="28"/>
        </w:rPr>
        <w:t xml:space="preserve">Moduł 2. Zagrożenia w pracy biurowej i metody ochrony</w:t>
      </w:r>
    </w:p>
    <w:p>
      <w:pPr>
        <w:spacing w:after="130" w:line="300"/>
        <w:jc w:val="both"/>
      </w:pPr>
      <w:r>
        <w:rPr>
          <w:rFonts w:ascii="Calibri" w:cs="Calibri" w:eastAsia="Calibri" w:hAnsi="Calibri"/>
          <w:b w:val="false"/>
          <w:bCs w:val="false"/>
          <w:i w:val="false"/>
          <w:iCs w:val="false"/>
          <w:color w:val="1F2937"/>
          <w:sz w:val="21"/>
          <w:szCs w:val="21"/>
        </w:rPr>
        <w:t xml:space="preserve">Czas: 2 godziny lekcyjne. Zakres z ramowego programu: postęp w zakresie oceny zagrożeń czynnikami występującymi w procesach pracy oraz w zakresie metod ochrony przed zagrożeniami dla zdrowia i życia pracowników.</w:t>
      </w:r>
    </w:p>
    <w:p>
      <w:pPr>
        <w:spacing w:after="110" w:before="240"/>
      </w:pPr>
      <w:r>
        <w:rPr>
          <w:rFonts w:ascii="Calibri" w:cs="Calibri" w:eastAsia="Calibri" w:hAnsi="Calibri"/>
          <w:b/>
          <w:bCs/>
          <w:i w:val="false"/>
          <w:iCs w:val="false"/>
          <w:color w:val="0F172A"/>
          <w:sz w:val="23"/>
          <w:szCs w:val="23"/>
        </w:rPr>
        <w:t xml:space="preserve">2.1. Cztery grupy czynników</w:t>
      </w:r>
    </w:p>
    <w:p>
      <w:pPr>
        <w:spacing w:after="130" w:line="300"/>
        <w:jc w:val="both"/>
      </w:pPr>
      <w:r>
        <w:rPr>
          <w:rFonts w:ascii="Calibri" w:cs="Calibri" w:eastAsia="Calibri" w:hAnsi="Calibri"/>
          <w:b w:val="false"/>
          <w:bCs w:val="false"/>
          <w:i w:val="false"/>
          <w:iCs w:val="false"/>
          <w:color w:val="1F2937"/>
          <w:sz w:val="21"/>
          <w:szCs w:val="21"/>
        </w:rPr>
        <w:t xml:space="preserve">Czynniki występujące w środowisku pracy dzieli się na fizyczne, chemiczne, biologiczne i psychofizyczne. Każdy z nich występuje też w biurze, choć w innym natężeniu niż w hali produkcyjnej.</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20%"/>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Grupa czynników</w:t>
            </w:r>
          </w:p>
        </w:tc>
        <w:tc>
          <w:tcPr>
            <w:tcW w:type="pct" w:w="4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Co to znaczy w biurze</w:t>
            </w:r>
          </w:p>
        </w:tc>
        <w:tc>
          <w:tcPr>
            <w:tcW w:type="pct" w:w="3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Typowe skutki</w:t>
            </w:r>
          </w:p>
        </w:tc>
      </w:tr>
      <w:tr>
        <w:tc>
          <w:tcPr>
            <w:tcW w:type="pct" w:w="2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Fizyczne</w:t>
            </w:r>
          </w:p>
        </w:tc>
        <w:tc>
          <w:tcPr>
            <w:tcW w:type="pct" w:w="4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Oświetlenie, hałas, mikroklimat, prąd elektryczny, powierzchnie śliskie, przedmioty w ciągach komunikacyjnych</w:t>
            </w:r>
          </w:p>
        </w:tc>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Zmęczenie wzroku, bóle głowy, potknięcia i upadki, porażenie prądem</w:t>
            </w:r>
          </w:p>
        </w:tc>
      </w:tr>
      <w:tr>
        <w:tc>
          <w:tcPr>
            <w:tcW w:type="pct" w:w="20%"/>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Chemiczne</w:t>
            </w:r>
          </w:p>
        </w:tc>
        <w:tc>
          <w:tcPr>
            <w:tcW w:type="pct" w:w="4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Tonery, środki czystości, opary z urządzeń, produkty renowacji pomieszczeń</w:t>
            </w:r>
          </w:p>
        </w:tc>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Podrażnienia dróg oddechowych, uczulenia</w:t>
            </w:r>
          </w:p>
        </w:tc>
      </w:tr>
      <w:tr>
        <w:tc>
          <w:tcPr>
            <w:tcW w:type="pct" w:w="2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Biologiczne</w:t>
            </w:r>
          </w:p>
        </w:tc>
        <w:tc>
          <w:tcPr>
            <w:tcW w:type="pct" w:w="4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Wirusy i bakterie w pomieszczeniach zbiorowych, zanieczyszczona klimatyzacja, wilgoć i pleśń</w:t>
            </w:r>
          </w:p>
        </w:tc>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Zakażenia, alergie</w:t>
            </w:r>
          </w:p>
        </w:tc>
      </w:tr>
      <w:tr>
        <w:tc>
          <w:tcPr>
            <w:tcW w:type="pct" w:w="20%"/>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Psychofizyczne</w:t>
            </w:r>
          </w:p>
        </w:tc>
        <w:tc>
          <w:tcPr>
            <w:tcW w:type="pct" w:w="4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Obciążenie statyczne przy monitorze, powtarzalne ruchy, presja czasu, przerywanie pracy, kontakt z trudnym klientem</w:t>
            </w:r>
          </w:p>
        </w:tc>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Dolegliwości mięśniowo-szkieletowe, stres, wypalenie</w:t>
            </w:r>
          </w:p>
        </w:tc>
      </w:tr>
    </w:tbl>
    <w:p>
      <w:pPr>
        <w:spacing w:after="160"/>
      </w:pPr>
    </w:p>
    <w:p>
      <w:pPr>
        <w:spacing w:after="130" w:line="300"/>
        <w:jc w:val="both"/>
      </w:pPr>
      <w:r>
        <w:rPr>
          <w:rFonts w:ascii="Calibri" w:cs="Calibri" w:eastAsia="Calibri" w:hAnsi="Calibri"/>
          <w:b w:val="false"/>
          <w:bCs w:val="false"/>
          <w:i w:val="false"/>
          <w:iCs w:val="false"/>
          <w:color w:val="1F2937"/>
          <w:sz w:val="21"/>
          <w:szCs w:val="21"/>
        </w:rPr>
        <w:t xml:space="preserve">W biurze najwięcej szkód robią czynniki, które nie wyglądają groźnie: statyczna pozycja przez wiele godzin, powtarzalne ruchy nadgarstka i obciążenie psychiczne. Rzadko dają jedno wyraźne zdarzenie, więc łatwo je zlekceważyć.</w:t>
      </w:r>
    </w:p>
    <w:p>
      <w:pPr>
        <w:spacing w:after="110" w:before="240"/>
      </w:pPr>
      <w:r>
        <w:rPr>
          <w:rFonts w:ascii="Calibri" w:cs="Calibri" w:eastAsia="Calibri" w:hAnsi="Calibri"/>
          <w:b/>
          <w:bCs/>
          <w:i w:val="false"/>
          <w:iCs w:val="false"/>
          <w:color w:val="0F172A"/>
          <w:sz w:val="23"/>
          <w:szCs w:val="23"/>
        </w:rPr>
        <w:t xml:space="preserve">2.2. Ocena ryzyka zawodowego</w:t>
      </w:r>
    </w:p>
    <w:p>
      <w:pPr>
        <w:spacing w:after="130" w:line="300"/>
        <w:jc w:val="both"/>
      </w:pPr>
      <w:r>
        <w:rPr>
          <w:rFonts w:ascii="Calibri" w:cs="Calibri" w:eastAsia="Calibri" w:hAnsi="Calibri"/>
          <w:b w:val="false"/>
          <w:bCs w:val="false"/>
          <w:i w:val="false"/>
          <w:iCs w:val="false"/>
          <w:color w:val="1F2937"/>
          <w:sz w:val="21"/>
          <w:szCs w:val="21"/>
        </w:rPr>
        <w:t xml:space="preserve">Art. 226 KP zobowiązuje pracodawcę do oceny i udokumentowania ryzyka zawodowego związanego z wykonywaną pracą, stosowania niezbędnych środków profilaktycznych zmniejszających ryzyko oraz do informowania pracowników o ryzyku i o zasadach ochrony przed zagrożeniami. Informowanie jest częścią obowiązku, a nie dodatkiem: ocena schowana w segregatorze nie spełnia przepisu.</w:t>
      </w:r>
    </w:p>
    <w:p>
      <w:pPr>
        <w:spacing w:after="130" w:line="300"/>
        <w:jc w:val="both"/>
      </w:pPr>
      <w:r>
        <w:rPr>
          <w:rFonts w:ascii="Calibri" w:cs="Calibri" w:eastAsia="Calibri" w:hAnsi="Calibri"/>
          <w:b w:val="false"/>
          <w:bCs w:val="false"/>
          <w:i w:val="false"/>
          <w:iCs w:val="false"/>
          <w:color w:val="1F2937"/>
          <w:sz w:val="21"/>
          <w:szCs w:val="21"/>
        </w:rPr>
        <w:t xml:space="preserve">Dla stanowisk wyposażonych w monitory ekranowe rozporządzenie wymaga osobnej oceny warunków pracy, obejmującej organizację stanowisk, stan wyposażenia, obciążenie narządu wzroku i układu mięśniowo-szkieletowego, obciążenie czynnikami fizycznymi, w tym nieodpowiednim oświetleniem, oraz obciążenie psychiczne wynikające ze sposobu organizacji pracy. Ocenę przeprowadza się w szczególności dla nowo tworzonych stanowisk oraz po każdej zmianie organizacji i wyposażenia stanowisk.</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Ocena ryzyka ma jedną praktyczną konsekwencję dla stanowisk administracyjno-biurowych: jeżeli z niej wynika, że szkolenie okresowe jest konieczne, to trzeba je przeprowadzić nawet wtedy, gdy pracodawca mieści się w grupie działalności o kategorii ryzyka nie wyższej niż trzecia (art. 2373 § 22 KP).</w:t>
            </w:r>
          </w:p>
        </w:tc>
      </w:tr>
    </w:tbl>
    <w:p>
      <w:pPr>
        <w:spacing w:after="140"/>
      </w:pPr>
    </w:p>
    <w:p>
      <w:pPr>
        <w:spacing w:after="110" w:before="240"/>
      </w:pPr>
      <w:r>
        <w:rPr>
          <w:rFonts w:ascii="Calibri" w:cs="Calibri" w:eastAsia="Calibri" w:hAnsi="Calibri"/>
          <w:b/>
          <w:bCs/>
          <w:i w:val="false"/>
          <w:iCs w:val="false"/>
          <w:color w:val="0F172A"/>
          <w:sz w:val="23"/>
          <w:szCs w:val="23"/>
        </w:rPr>
        <w:t xml:space="preserve">2.3. Kolejność środków ochrony</w:t>
      </w:r>
    </w:p>
    <w:p>
      <w:pPr>
        <w:spacing w:after="130" w:line="300"/>
        <w:jc w:val="both"/>
      </w:pPr>
      <w:r>
        <w:rPr>
          <w:rFonts w:ascii="Calibri" w:cs="Calibri" w:eastAsia="Calibri" w:hAnsi="Calibri"/>
          <w:b w:val="false"/>
          <w:bCs w:val="false"/>
          <w:i w:val="false"/>
          <w:iCs w:val="false"/>
          <w:color w:val="1F2937"/>
          <w:sz w:val="21"/>
          <w:szCs w:val="21"/>
        </w:rPr>
        <w:t xml:space="preserve">Środki dobiera się w ustalonej kolejności, a nie dowolnie. Najpierw usuwa się zagrożenie u źródła, potem ogranicza się je technicznie, potem organizacyjnie, a dopiero na końcu sięga po środki ochrony indywidualnej. W biurze oznacza to kolejno: wymianę wadliwego urządzenia, zmianę ustawienia stanowiska i oświetlenia, zmianę organizacji pracy przez przerwy i rotację zadań, a na końcu wyposażenie osobiste.</w:t>
      </w:r>
    </w:p>
    <w:p>
      <w:pPr>
        <w:spacing w:after="110" w:before="240"/>
      </w:pPr>
      <w:r>
        <w:rPr>
          <w:rFonts w:ascii="Calibri" w:cs="Calibri" w:eastAsia="Calibri" w:hAnsi="Calibri"/>
          <w:b/>
          <w:bCs/>
          <w:i w:val="false"/>
          <w:iCs w:val="false"/>
          <w:color w:val="0F172A"/>
          <w:sz w:val="23"/>
          <w:szCs w:val="23"/>
        </w:rPr>
        <w:t xml:space="preserve">2.4. Praca zdalna</w:t>
      </w:r>
    </w:p>
    <w:p>
      <w:pPr>
        <w:spacing w:after="130" w:line="300"/>
        <w:jc w:val="both"/>
      </w:pPr>
      <w:r>
        <w:rPr>
          <w:rFonts w:ascii="Calibri" w:cs="Calibri" w:eastAsia="Calibri" w:hAnsi="Calibri"/>
          <w:b w:val="false"/>
          <w:bCs w:val="false"/>
          <w:i w:val="false"/>
          <w:iCs w:val="false"/>
          <w:color w:val="1F2937"/>
          <w:sz w:val="21"/>
          <w:szCs w:val="21"/>
        </w:rPr>
        <w:t xml:space="preserve">Przy pracy zdalnej pracodawca realizuje obowiązki z działu dziesiątego Kodeksu pracy w zakresie wynikającym z rodzaju i warunków wykonywanej pracy, z wyłączeniami wymienionymi w art. 6731 § 1 KP. Ocena ryzyka zawodowego pracownika zdalnego uwzględnia w szczególności wpływ tej pracy na wzrok, układ mięśniowo-szkieletowy oraz uwarunkowania psychospołeczne. Na jej podstawie pracodawca przygotowuje informację o organizacji stanowiska, zasadach bezpiecznej pracy, czynnościach po zakończeniu pracy i postępowaniu w sytuacjach awaryjnych, a pracownik potwierdza oświadczeniem, że się z nią zapoznał.</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Praca zdalna nie zwalnia ze szkolenia okresowego, tylko odwrotnie. Do pracownika wykonującego pracę zdalną nie stosuje się art. 2373 § 22 KP, czyli przepisu zwalniającego stanowiska administracyjno-biurowe (art. 6731 § 3 KP). Pracownik biurowy pracujący zdalnie ma szkolenie okresowe zawsze.</w:t>
            </w:r>
          </w:p>
        </w:tc>
      </w:tr>
    </w:tbl>
    <w:p>
      <w:pPr>
        <w:spacing w:after="140"/>
      </w:pPr>
    </w:p>
    <w:p>
      <w:pPr>
        <w:spacing w:after="110" w:before="240"/>
      </w:pPr>
      <w:r>
        <w:rPr>
          <w:rFonts w:ascii="Calibri" w:cs="Calibri" w:eastAsia="Calibri" w:hAnsi="Calibri"/>
          <w:b/>
          <w:bCs/>
          <w:i w:val="false"/>
          <w:iCs w:val="false"/>
          <w:color w:val="0F172A"/>
          <w:sz w:val="23"/>
          <w:szCs w:val="23"/>
        </w:rPr>
        <w:t xml:space="preserve">2.5. Obciążenie psychiczne i stres</w:t>
      </w:r>
    </w:p>
    <w:p>
      <w:pPr>
        <w:spacing w:after="130" w:line="300"/>
        <w:jc w:val="both"/>
      </w:pPr>
      <w:r>
        <w:rPr>
          <w:rFonts w:ascii="Calibri" w:cs="Calibri" w:eastAsia="Calibri" w:hAnsi="Calibri"/>
          <w:b w:val="false"/>
          <w:bCs w:val="false"/>
          <w:i w:val="false"/>
          <w:iCs w:val="false"/>
          <w:color w:val="1F2937"/>
          <w:sz w:val="21"/>
          <w:szCs w:val="21"/>
        </w:rPr>
        <w:t xml:space="preserve">Obciążenie psychiczne jest jednym z pięciu aspektów wymienionych wprost w ocenie warunków pracy przy monitorach ekranowych. Źródła w pracy biurowej są powtarzalne: presja czasu i terminów, częste przerywanie pracy, nadmiar bodźców, niejasny zakres obowiązków, kontakt z osobą w kryzysie, praca w otwartej przestrzeni bez możliwości skupienia.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Rozwiązania organizacyjne: realistyczne terminy, jasny podział zadań, ograniczenie przerywania pracy, wyznaczone miejsca do pracy w skupieniu.</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Rozwiązania indywidualne: planowanie zadań w blokach, przerwy zgodne z przepisami, oddzielenie czasu pracy od czasu wolnego, zwłaszcza przy pracy zdalnej.</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Sytuacje wymagające reakcji przełożonego: przeciążenie utrzymujące się mimo zmian organizacyjnych, konflikt, zachowania noszące znamiona mobbingu.</w:t>
      </w:r>
    </w:p>
    <w:p>
      <w:pPr>
        <w:spacing w:after="110" w:before="240"/>
      </w:pPr>
      <w:r>
        <w:rPr>
          <w:rFonts w:ascii="Calibri" w:cs="Calibri" w:eastAsia="Calibri" w:hAnsi="Calibri"/>
          <w:b/>
          <w:bCs/>
          <w:i w:val="false"/>
          <w:iCs w:val="false"/>
          <w:color w:val="0F172A"/>
          <w:sz w:val="23"/>
          <w:szCs w:val="23"/>
        </w:rPr>
        <w:t xml:space="preserve">2.6. Pomieszczenie biurowe: wymagania, które da się sprawdzić metrem</w:t>
      </w:r>
    </w:p>
    <w:p>
      <w:pPr>
        <w:spacing w:after="130" w:line="300"/>
        <w:jc w:val="both"/>
      </w:pPr>
      <w:r>
        <w:rPr>
          <w:rFonts w:ascii="Calibri" w:cs="Calibri" w:eastAsia="Calibri" w:hAnsi="Calibri"/>
          <w:b w:val="false"/>
          <w:bCs w:val="false"/>
          <w:i w:val="false"/>
          <w:iCs w:val="false"/>
          <w:color w:val="1F2937"/>
          <w:sz w:val="21"/>
          <w:szCs w:val="21"/>
        </w:rPr>
        <w:t xml:space="preserve">Ogólne przepisy bhp podają konkretne liczby. Warto je znać, bo w biurze najczęściej chodzi o dostawienie kolejnego biurka do pokoju, który już jest pełny.</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4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Wymaganie</w:t>
            </w:r>
          </w:p>
        </w:tc>
        <w:tc>
          <w:tcPr>
            <w:tcW w:type="pct" w:w="3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Wartość</w:t>
            </w:r>
          </w:p>
        </w:tc>
        <w:tc>
          <w:tcPr>
            <w:tcW w:type="pct" w:w="2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Podstawa</w:t>
            </w:r>
          </w:p>
        </w:tc>
      </w:tr>
      <w:tr>
        <w:tc>
          <w:tcPr>
            <w:tcW w:type="pct" w:w="4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Wolna objętość pomieszczenia na jednego pracownika</w:t>
            </w:r>
          </w:p>
        </w:tc>
        <w:tc>
          <w:tcPr>
            <w:tcW w:type="pct" w:w="3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co najmniej 13 m sześciennych</w:t>
            </w:r>
          </w:p>
        </w:tc>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 19 ust. 2</w:t>
            </w:r>
          </w:p>
        </w:tc>
      </w:tr>
      <w:tr>
        <w:tc>
          <w:tcPr>
            <w:tcW w:type="pct" w:w="4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Wolna powierzchnia podłogi na jednego pracownika, niezajęta przez urządzenia i sprzęt</w:t>
            </w:r>
          </w:p>
        </w:tc>
        <w:tc>
          <w:tcPr>
            <w:tcW w:type="pct" w:w="3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co najmniej 2 m kwadratowe</w:t>
            </w:r>
          </w:p>
        </w:tc>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 19 ust. 2</w:t>
            </w:r>
          </w:p>
        </w:tc>
      </w:tr>
      <w:tr>
        <w:tc>
          <w:tcPr>
            <w:tcW w:type="pct" w:w="4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Wysokość pomieszczenia stałej pracy bez czynników szkodliwych</w:t>
            </w:r>
          </w:p>
        </w:tc>
        <w:tc>
          <w:tcPr>
            <w:tcW w:type="pct" w:w="3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co najmniej 3 m w świetle</w:t>
            </w:r>
          </w:p>
        </w:tc>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 20 ust. 1 pkt 1</w:t>
            </w:r>
          </w:p>
        </w:tc>
      </w:tr>
      <w:tr>
        <w:tc>
          <w:tcPr>
            <w:tcW w:type="pct" w:w="4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Wysokość obniżona, gdy zatrudnionych jest nie więcej niż czterech pracowników, a na każdego przypada co najmniej 15 m sześciennych</w:t>
            </w:r>
          </w:p>
        </w:tc>
        <w:tc>
          <w:tcPr>
            <w:tcW w:type="pct" w:w="3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2,5 m w świetle</w:t>
            </w:r>
          </w:p>
        </w:tc>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 20 ust. 3 pkt 1 lit. a</w:t>
            </w:r>
          </w:p>
        </w:tc>
      </w:tr>
      <w:tr>
        <w:tc>
          <w:tcPr>
            <w:tcW w:type="pct" w:w="4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Temperatura w pomieszczeniach biurowych</w:t>
            </w:r>
          </w:p>
        </w:tc>
        <w:tc>
          <w:tcPr>
            <w:tcW w:type="pct" w:w="3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nie niższa niż 18 stopni Celsjusza</w:t>
            </w:r>
          </w:p>
        </w:tc>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 30</w:t>
            </w:r>
          </w:p>
        </w:tc>
      </w:tr>
      <w:tr>
        <w:tc>
          <w:tcPr>
            <w:tcW w:type="pct" w:w="4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Oświetlenie dzienne i elektryczne</w:t>
            </w:r>
          </w:p>
        </w:tc>
        <w:tc>
          <w:tcPr>
            <w:tcW w:type="pct" w:w="3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zgodne z Polskimi Normami, dostosowane do rodzaju pracy i wymaganej dokładności</w:t>
            </w:r>
          </w:p>
        </w:tc>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 26</w:t>
            </w:r>
          </w:p>
        </w:tc>
      </w:tr>
    </w:tbl>
    <w:p>
      <w:pPr>
        <w:spacing w:after="160"/>
      </w:pPr>
    </w:p>
    <w:p>
      <w:pPr>
        <w:spacing w:after="130" w:line="300"/>
        <w:jc w:val="both"/>
      </w:pPr>
      <w:r>
        <w:rPr>
          <w:rFonts w:ascii="Calibri" w:cs="Calibri" w:eastAsia="Calibri" w:hAnsi="Calibri"/>
          <w:b w:val="false"/>
          <w:bCs w:val="false"/>
          <w:i w:val="false"/>
          <w:iCs w:val="false"/>
          <w:color w:val="1F2937"/>
          <w:sz w:val="21"/>
          <w:szCs w:val="21"/>
        </w:rPr>
        <w:t xml:space="preserve">Podane liczby dotyczą pomieszczeń stałej pracy, czyli takich, w których łączny czas przebywania tego samego pracownika w ciągu doby przekracza 4 godziny. Dla pomieszczeń czasowej pracy wymagania są łagodniejsze.</w:t>
      </w:r>
    </w:p>
    <w:p>
      <w:pPr>
        <w:spacing w:after="110" w:before="240"/>
      </w:pPr>
      <w:r>
        <w:rPr>
          <w:rFonts w:ascii="Calibri" w:cs="Calibri" w:eastAsia="Calibri" w:hAnsi="Calibri"/>
          <w:b/>
          <w:bCs/>
          <w:i w:val="false"/>
          <w:iCs w:val="false"/>
          <w:color w:val="0F172A"/>
          <w:sz w:val="23"/>
          <w:szCs w:val="23"/>
        </w:rPr>
        <w:t xml:space="preserve">2.7. Instalacje i porządek</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Gniazda i przedłużacze: jeden przedłużacz na obwód, bez łączenia szeregowego, bez przeciążania listew urządzeniami grzejnymi.</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Uszkodzony kabel, iskrzenie, zapach spalenizny: natychmiast odłączyć urządzenie i zgłosić, nie naprawiać samodzielnie.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Ciągi komunikacyjne i drogi ewakuacyjne wolne od kartonów, kabli i sprzętu.</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Szuflady i drzwiczki szaf zamykane po użyciu, ciężkie segregatory na niższych półkach, wysokie regały zakotwione do ściany.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Rozlany płyn wycierany od razu, a nie po powrocie z kuchni.</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Wypadki w biurach są powtarzalne: potknięcie, poślizgnięcie, uderzenie o otwartą szufladę, upadek z krzesła używanego zamiast drabinki, oparzenie gorącym napojem. Prawie wszystkie da się usunąć bez nakładów.</w:t>
            </w:r>
          </w:p>
        </w:tc>
      </w:tr>
    </w:tbl>
    <w:p>
      <w:pPr>
        <w:spacing w:after="140"/>
      </w:pPr>
    </w:p>
    <w:p>
      <w:pPr>
        <w:spacing w:after="110" w:before="240"/>
      </w:pPr>
      <w:r>
        <w:rPr>
          <w:rFonts w:ascii="Calibri" w:cs="Calibri" w:eastAsia="Calibri" w:hAnsi="Calibri"/>
          <w:b/>
          <w:bCs/>
          <w:i w:val="false"/>
          <w:iCs w:val="false"/>
          <w:color w:val="0F172A"/>
          <w:sz w:val="23"/>
          <w:szCs w:val="23"/>
        </w:rPr>
        <w:t xml:space="preserve">2.8. Wypadek w drodze do pracy i z pracy</w:t>
      </w:r>
    </w:p>
    <w:p>
      <w:pPr>
        <w:spacing w:after="130" w:line="300"/>
        <w:jc w:val="both"/>
      </w:pPr>
      <w:r>
        <w:rPr>
          <w:rFonts w:ascii="Calibri" w:cs="Calibri" w:eastAsia="Calibri" w:hAnsi="Calibri"/>
          <w:b w:val="false"/>
          <w:bCs w:val="false"/>
          <w:i w:val="false"/>
          <w:iCs w:val="false"/>
          <w:color w:val="1F2937"/>
          <w:sz w:val="21"/>
          <w:szCs w:val="21"/>
        </w:rPr>
        <w:t xml:space="preserve">To osobna kategoria, której nie należy mylić z wypadkiem przy pracy. Wypadek w drodze do pracy lub z pracy nie jest wypadkiem przy pracy, ma inną definicję i inne świadczenia. W pracy biurowej zdarza się częściej niż wypadek na stanowisku.</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Dotyczy drogi między miejscem zamieszkania albo innym wskazanym miejscem a miejscem wykonywania pracy, przebytej najkrótszą drogą i bez nieuzasadnionego przerwania.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Przerwanie drogi nie odbiera charakteru wypadku w drodze, jeżeli było życiowo uzasadnione, a jego czas nie przekraczał granic potrzeby.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Zdarzenie zgłasza się pracodawcy, który sporządza kartę wypadku w drodze do pracy lub z pracy.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Świadczenie: wynagrodzenie chorobowe i zasiłek w wysokości 100 procent podstawy, ale bez jednorazowego odszkodowania z ubezpieczenia wypadkowego.</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Praktyczna różnica dla pracownika biurowego: potknięcie na schodach w budynku pracodawcy w czasie pracy to zwykle wypadek przy pracy, a upadek na chodniku w drodze z przystanku to wypadek w drodze do pracy. Granica biegnie zwykle po granicy terenu zakładu, ale rozstrzyga ustalenie okoliczności, a nie ogólna zasada.</w:t>
            </w:r>
          </w:p>
        </w:tc>
      </w:tr>
    </w:tbl>
    <w:p>
      <w:pPr>
        <w:spacing w:after="140"/>
      </w:pPr>
    </w:p>
    <w:p>
      <w:pPr>
        <w:spacing w:after="110" w:before="240"/>
      </w:pPr>
      <w:r>
        <w:rPr>
          <w:rFonts w:ascii="Calibri" w:cs="Calibri" w:eastAsia="Calibri" w:hAnsi="Calibri"/>
          <w:b/>
          <w:bCs/>
          <w:i w:val="false"/>
          <w:iCs w:val="false"/>
          <w:color w:val="0F172A"/>
          <w:sz w:val="23"/>
          <w:szCs w:val="23"/>
        </w:rPr>
        <w:t xml:space="preserve">2.9. Ręczne prace transportowe w biurze</w:t>
      </w:r>
    </w:p>
    <w:p>
      <w:pPr>
        <w:spacing w:after="130" w:line="300"/>
        <w:jc w:val="both"/>
      </w:pPr>
      <w:r>
        <w:rPr>
          <w:rFonts w:ascii="Calibri" w:cs="Calibri" w:eastAsia="Calibri" w:hAnsi="Calibri"/>
          <w:b w:val="false"/>
          <w:bCs w:val="false"/>
          <w:i w:val="false"/>
          <w:iCs w:val="false"/>
          <w:color w:val="1F2937"/>
          <w:sz w:val="21"/>
          <w:szCs w:val="21"/>
        </w:rPr>
        <w:t xml:space="preserve">Ryzy papieru, kartony z dokumentami, sprzęt komputerowy i woda w zgrzewkach to codzienność w biurze, a przepisy o ręcznych pracach transportowych podają twarde limity.</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5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Sytuacja</w:t>
            </w:r>
          </w:p>
        </w:tc>
        <w:tc>
          <w:tcPr>
            <w:tcW w:type="pct" w:w="2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Kobiety</w:t>
            </w:r>
          </w:p>
        </w:tc>
        <w:tc>
          <w:tcPr>
            <w:tcW w:type="pct" w:w="2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Mężczyźni</w:t>
            </w:r>
          </w:p>
        </w:tc>
      </w:tr>
      <w:tr>
        <w:tc>
          <w:tcPr>
            <w:tcW w:type="pct" w:w="5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Podnoszenie i przenoszenie, praca stała</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12 kg</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30 kg</w:t>
            </w:r>
          </w:p>
        </w:tc>
      </w:tr>
      <w:tr>
        <w:tc>
          <w:tcPr>
            <w:tcW w:type="pct" w:w="5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Podnoszenie i przenoszenie, praca dorywcza</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20 kg</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50 kg</w:t>
            </w:r>
          </w:p>
        </w:tc>
      </w:tr>
      <w:tr>
        <w:tc>
          <w:tcPr>
            <w:tcW w:type="pct" w:w="5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Podnoszenie powyżej obręczy barkowej, praca stała</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8 kg</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21 kg</w:t>
            </w:r>
          </w:p>
        </w:tc>
      </w:tr>
      <w:tr>
        <w:tc>
          <w:tcPr>
            <w:tcW w:type="pct" w:w="5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Podnoszenie powyżej obręczy barkowej, praca dorywcza</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14 kg</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35 kg</w:t>
            </w:r>
          </w:p>
        </w:tc>
      </w:tr>
      <w:tr>
        <w:tc>
          <w:tcPr>
            <w:tcW w:type="pct" w:w="5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Przenoszenie na odległość powyżej 25 metrów</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12 kg</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30 kg</w:t>
            </w:r>
          </w:p>
        </w:tc>
      </w:tr>
    </w:tbl>
    <w:p>
      <w:pPr>
        <w:spacing w:after="160"/>
      </w:pPr>
    </w:p>
    <w:p>
      <w:pPr>
        <w:spacing w:after="130" w:line="300"/>
        <w:jc w:val="both"/>
      </w:pPr>
      <w:r>
        <w:rPr>
          <w:rFonts w:ascii="Calibri" w:cs="Calibri" w:eastAsia="Calibri" w:hAnsi="Calibri"/>
          <w:b w:val="false"/>
          <w:bCs w:val="false"/>
          <w:i w:val="false"/>
          <w:iCs w:val="false"/>
          <w:color w:val="1F2937"/>
          <w:sz w:val="21"/>
          <w:szCs w:val="21"/>
        </w:rPr>
        <w:t xml:space="preserve">Podstawa: § 13 rozporządzenia Ministra Pracy i Polityki Społecznej z 14 marca 2000 r. w sprawie bezpieczeństwa i higieny pracy przy ręcznych pracach transportowych oraz innych pracach związanych z wysiłkiem fizycznym, w tekście jednolitym z 2018 r.</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Podnoś z pozycji kucznej, plecy proste, ciężar blisko tułowia, bez skrętu kręgosłupa.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Duże kartony dziel na mniejsze albo używaj wózka, zamiast dźwigać na raty pod ścianą.</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Nie wchodź z ciężarem na krzesło ani na parapet. Do wysokich półek jest drabinka.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Przy pracownicy w ciąży limity są znacznie niższe i wynikają z odrębnych przepisów o pracach uciążliwych.</w:t>
      </w:r>
    </w:p>
    <w:p>
      <w:pPr>
        <w:spacing w:after="60" w:before="150"/>
      </w:pPr>
      <w:r>
        <w:rPr>
          <w:rFonts w:ascii="Calibri" w:cs="Calibri" w:eastAsia="Calibri" w:hAnsi="Calibri"/>
          <w:b/>
          <w:bCs/>
          <w:i w:val="false"/>
          <w:iCs w:val="false"/>
          <w:color w:val="1F2937"/>
          <w:sz w:val="20"/>
          <w:szCs w:val="20"/>
        </w:rPr>
        <w:t xml:space="preserve">Pytanie kontrolne: Które obciążenie ocenia się na stanowisku z monitorem ekranowym poza obciążeniem wzroku i układu mięśniowo-szkieletowego?</w:t>
      </w:r>
    </w:p>
    <w:p>
      <w:pPr>
        <w:spacing w:after="120" w:line="290"/>
        <w:jc w:val="both"/>
      </w:pPr>
      <w:r>
        <w:rPr>
          <w:rFonts w:ascii="Calibri" w:cs="Calibri" w:eastAsia="Calibri" w:hAnsi="Calibri"/>
          <w:b w:val="false"/>
          <w:bCs w:val="false"/>
          <w:i/>
          <w:iCs/>
          <w:color w:val="595959"/>
          <w:sz w:val="20"/>
          <w:szCs w:val="20"/>
        </w:rPr>
        <w:t xml:space="preserve">Odpowiedź: Obciążenie czynnikami fizycznymi, w tym nieodpowiednim oświetleniem, oraz obciążenie psychiczne wynikające ze sposobu organizacji pracy (§ 5 rozporządzenia o monitorach).</w:t>
      </w:r>
    </w:p>
    <w:p>
      <w:pPr>
        <w:spacing w:after="60" w:before="150"/>
      </w:pPr>
      <w:r>
        <w:rPr>
          <w:rFonts w:ascii="Calibri" w:cs="Calibri" w:eastAsia="Calibri" w:hAnsi="Calibri"/>
          <w:b/>
          <w:bCs/>
          <w:i w:val="false"/>
          <w:iCs w:val="false"/>
          <w:color w:val="1F2937"/>
          <w:sz w:val="20"/>
          <w:szCs w:val="20"/>
        </w:rPr>
        <w:t xml:space="preserve">Pytanie kontrolne: Czy praca zdalna zwalnia pracownika biurowego ze szkolenia okresowego?</w:t>
      </w:r>
    </w:p>
    <w:p>
      <w:pPr>
        <w:spacing w:after="120" w:line="290"/>
        <w:jc w:val="both"/>
      </w:pPr>
      <w:r>
        <w:rPr>
          <w:rFonts w:ascii="Calibri" w:cs="Calibri" w:eastAsia="Calibri" w:hAnsi="Calibri"/>
          <w:b w:val="false"/>
          <w:bCs w:val="false"/>
          <w:i/>
          <w:iCs/>
          <w:color w:val="595959"/>
          <w:sz w:val="20"/>
          <w:szCs w:val="20"/>
        </w:rPr>
        <w:t xml:space="preserve">Odpowiedź: Nie. Przepis zwalniający stanowiska administracyjno-biurowe nie ma zastosowania do pracownika wykonującego pracę zdalną (art. 6731 § 3 KP).</w:t>
      </w:r>
    </w:p>
    <w:p>
      <w:pPr>
        <w:spacing w:after="60" w:before="150"/>
      </w:pPr>
      <w:r>
        <w:rPr>
          <w:rFonts w:ascii="Calibri" w:cs="Calibri" w:eastAsia="Calibri" w:hAnsi="Calibri"/>
          <w:b/>
          <w:bCs/>
          <w:i w:val="false"/>
          <w:iCs w:val="false"/>
          <w:color w:val="1F2937"/>
          <w:sz w:val="20"/>
          <w:szCs w:val="20"/>
        </w:rPr>
        <w:t xml:space="preserve">Pytanie kontrolne: W jakiej kolejności dobiera się środki ochrony?</w:t>
      </w:r>
    </w:p>
    <w:p>
      <w:pPr>
        <w:spacing w:after="120" w:line="290"/>
        <w:jc w:val="both"/>
      </w:pPr>
      <w:r>
        <w:rPr>
          <w:rFonts w:ascii="Calibri" w:cs="Calibri" w:eastAsia="Calibri" w:hAnsi="Calibri"/>
          <w:b w:val="false"/>
          <w:bCs w:val="false"/>
          <w:i/>
          <w:iCs/>
          <w:color w:val="595959"/>
          <w:sz w:val="20"/>
          <w:szCs w:val="20"/>
        </w:rPr>
        <w:t xml:space="preserve">Odpowiedź: Najpierw usunięcie zagrożenia u źródła, potem środki techniczne, potem organizacyjne, a na końcu środki ochrony indywidualnej.</w:t>
      </w:r>
    </w:p>
    <w:p>
      <w:pPr>
        <w:spacing w:after="180" w:before="320"/>
      </w:pPr>
      <w:r>
        <w:rPr>
          <w:rFonts w:ascii="Calibri" w:cs="Calibri" w:eastAsia="Calibri" w:hAnsi="Calibri"/>
          <w:b/>
          <w:bCs/>
          <w:i w:val="false"/>
          <w:iCs w:val="false"/>
          <w:color w:val="0F172A"/>
          <w:sz w:val="28"/>
          <w:szCs w:val="28"/>
        </w:rPr>
        <w:t xml:space="preserve">Moduł 3. Stanowisko pracy biurowej i ergonomia</w:t>
      </w:r>
    </w:p>
    <w:p>
      <w:pPr>
        <w:spacing w:after="130" w:line="300"/>
        <w:jc w:val="both"/>
      </w:pPr>
      <w:r>
        <w:rPr>
          <w:rFonts w:ascii="Calibri" w:cs="Calibri" w:eastAsia="Calibri" w:hAnsi="Calibri"/>
          <w:b w:val="false"/>
          <w:bCs w:val="false"/>
          <w:i w:val="false"/>
          <w:iCs w:val="false"/>
          <w:color w:val="1F2937"/>
          <w:sz w:val="21"/>
          <w:szCs w:val="21"/>
        </w:rPr>
        <w:t xml:space="preserve">Czas: 2 godziny lekcyjne. Zakres z ramowego programu: problemy związane z organizacją stanowisk pracy biurowej, z uwzględnieniem zasad ergonomii, w tym stanowisk wyposażonych w monitory ekranowe i inne urządzenia biurowe.</w:t>
      </w:r>
    </w:p>
    <w:p>
      <w:pPr>
        <w:spacing w:after="110" w:before="240"/>
      </w:pPr>
      <w:r>
        <w:rPr>
          <w:rFonts w:ascii="Calibri" w:cs="Calibri" w:eastAsia="Calibri" w:hAnsi="Calibri"/>
          <w:b/>
          <w:bCs/>
          <w:i w:val="false"/>
          <w:iCs w:val="false"/>
          <w:color w:val="0F172A"/>
          <w:sz w:val="23"/>
          <w:szCs w:val="23"/>
        </w:rPr>
        <w:t xml:space="preserve">3.1. Kiedy przepisy o monitorach ekranowych mają zastosowanie</w:t>
      </w:r>
    </w:p>
    <w:p>
      <w:pPr>
        <w:spacing w:after="130" w:line="300"/>
        <w:jc w:val="both"/>
      </w:pPr>
      <w:r>
        <w:rPr>
          <w:rFonts w:ascii="Calibri" w:cs="Calibri" w:eastAsia="Calibri" w:hAnsi="Calibri"/>
          <w:b w:val="false"/>
          <w:bCs w:val="false"/>
          <w:i w:val="false"/>
          <w:iCs w:val="false"/>
          <w:color w:val="1F2937"/>
          <w:sz w:val="21"/>
          <w:szCs w:val="21"/>
        </w:rPr>
        <w:t xml:space="preserve">Rozporządzenie Ministra Pracy i Polityki Socjalnej z 1 grudnia 1998 r. w sprawie bezpieczeństwa i higieny pracy na stanowiskach wyposażonych w monitory ekranowe, w tekście jednolitym z 2025 r., stosuje się do pracownika użytkującego w czasie pracy monitor ekranowy </w:t>
      </w:r>
      <w:r>
        <w:rPr>
          <w:rFonts w:ascii="Calibri" w:cs="Calibri" w:eastAsia="Calibri" w:hAnsi="Calibri"/>
          <w:b/>
          <w:bCs/>
          <w:i w:val="false"/>
          <w:iCs w:val="false"/>
          <w:color w:val="1F2937"/>
          <w:sz w:val="21"/>
          <w:szCs w:val="21"/>
        </w:rPr>
        <w:t xml:space="preserve">co najmniej przez połowę dobowego wymiaru czasu pracy</w:t>
      </w:r>
      <w:r>
        <w:rPr>
          <w:rFonts w:ascii="Calibri" w:cs="Calibri" w:eastAsia="Calibri" w:hAnsi="Calibri"/>
          <w:b w:val="false"/>
          <w:bCs w:val="false"/>
          <w:i w:val="false"/>
          <w:iCs w:val="false"/>
          <w:color w:val="1F2937"/>
          <w:sz w:val="21"/>
          <w:szCs w:val="21"/>
        </w:rPr>
        <w:t xml:space="preserve">. Za pracownika uważa się przy tym każdą osobę zatrudnioną przez pracodawcę, w tym praktykanta i stażystę.</w:t>
      </w:r>
    </w:p>
    <w:p>
      <w:pPr>
        <w:spacing w:after="130" w:line="300"/>
        <w:jc w:val="both"/>
      </w:pPr>
      <w:r>
        <w:rPr>
          <w:rFonts w:ascii="Calibri" w:cs="Calibri" w:eastAsia="Calibri" w:hAnsi="Calibri"/>
          <w:b w:val="false"/>
          <w:bCs w:val="false"/>
          <w:i w:val="false"/>
          <w:iCs w:val="false"/>
          <w:color w:val="1F2937"/>
          <w:sz w:val="21"/>
          <w:szCs w:val="21"/>
        </w:rPr>
        <w:t xml:space="preserve">Stanowisko pracy to przestrzeń pracy wraz z wyposażeniem podstawowym, w tym monitorem ekranowym, klawiaturą, myszą lub innymi urządzeniami wejściowymi, oprogramowaniem z interfejsem dla użytkownika, krzesłem i stołem, oraz z opcjonalnym wyposażeniem dodatkowym, w tym stacją dysków, drukarką, skanerem, uchwytem na dokumenty i podnóżkiem. To brzmienie pochodzi ze zmiany, która weszła w życie 17 listopada 2023 r.</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Przepisów nie stosuje się między innymi do systemów przenośnych nieprzeznaczonych do użytkowania na danym stanowisku pracy co najmniej przez połowę dobowego wymiaru czasu pracy. Laptop używany na stanowisku przez większość dnia podlega więc wymaganiom, a laptop zabierany na spotkania nie.</w:t>
            </w:r>
          </w:p>
        </w:tc>
      </w:tr>
    </w:tbl>
    <w:p>
      <w:pPr>
        <w:spacing w:after="140"/>
      </w:pPr>
    </w:p>
    <w:p>
      <w:pPr>
        <w:spacing w:after="110" w:before="240"/>
      </w:pPr>
      <w:r>
        <w:rPr>
          <w:rFonts w:ascii="Calibri" w:cs="Calibri" w:eastAsia="Calibri" w:hAnsi="Calibri"/>
          <w:b/>
          <w:bCs/>
          <w:i w:val="false"/>
          <w:iCs w:val="false"/>
          <w:color w:val="0F172A"/>
          <w:sz w:val="23"/>
          <w:szCs w:val="23"/>
        </w:rPr>
        <w:t xml:space="preserve">3.2. Obowiązki pracodawcy wobec stanowiska z monitorem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Przeprowadzenie oceny warunków pracy w pięciu aspektach wymienionych w § 5, w szczególności dla nowo tworzonych stanowisk i po każdej zmianie organizacji i wyposażenia stanowiska.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Podjęcie działań usuwających stwierdzone zagrożenia i uciążliwości.</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Informowanie pracowników o wszystkich aspektach ochrony zdrowia i bezpieczeństwa pracy na stanowiskach, w tym o wynikach oceny.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Zapewnienie profilaktycznej opieki zdrowotnej na zasadach określonych w odrębnych przepisach.</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Zapewnienie okularów </w:t>
      </w:r>
      <w:r>
        <w:rPr>
          <w:rFonts w:ascii="Calibri" w:cs="Calibri" w:eastAsia="Calibri" w:hAnsi="Calibri"/>
          <w:b/>
          <w:bCs/>
          <w:i w:val="false"/>
          <w:iCs w:val="false"/>
          <w:color w:val="1F2937"/>
          <w:sz w:val="21"/>
          <w:szCs w:val="21"/>
        </w:rPr>
        <w:t xml:space="preserve">lub szkieł kontaktowych</w:t>
      </w:r>
      <w:r>
        <w:rPr>
          <w:rFonts w:ascii="Calibri" w:cs="Calibri" w:eastAsia="Calibri" w:hAnsi="Calibri"/>
          <w:b w:val="false"/>
          <w:bCs w:val="false"/>
          <w:i w:val="false"/>
          <w:iCs w:val="false"/>
          <w:color w:val="1F2937"/>
          <w:sz w:val="21"/>
          <w:szCs w:val="21"/>
        </w:rPr>
        <w:t xml:space="preserve"> korygujących wzrok, zgodnych z zaleceniem lekarza, jeżeli wyniki badań okulistycznych przeprowadzonych w ramach profilaktycznej opieki zdrowotnej wykażą potrzebę ich stosowania podczas pracy przy obsłudze monitora.</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Szkła kontaktowe dopisano do przepisu zmianą z 18 października 2023 r. Wcześniej mowa była wyłącznie o okularach, więc materiały szkoleniowe starsze niż listopad 2023 r. podają w tym miejscu stan nieaktualny.</w:t>
            </w:r>
          </w:p>
        </w:tc>
      </w:tr>
    </w:tbl>
    <w:p>
      <w:pPr>
        <w:spacing w:after="140"/>
      </w:pPr>
    </w:p>
    <w:p>
      <w:pPr>
        <w:spacing w:after="110" w:before="240"/>
      </w:pPr>
      <w:r>
        <w:rPr>
          <w:rFonts w:ascii="Calibri" w:cs="Calibri" w:eastAsia="Calibri" w:hAnsi="Calibri"/>
          <w:b/>
          <w:bCs/>
          <w:i w:val="false"/>
          <w:iCs w:val="false"/>
          <w:color w:val="0F172A"/>
          <w:sz w:val="23"/>
          <w:szCs w:val="23"/>
        </w:rPr>
        <w:t xml:space="preserve">3.3. Przerwy i przemienność zadań</w:t>
      </w:r>
    </w:p>
    <w:p>
      <w:pPr>
        <w:spacing w:after="130" w:line="300"/>
        <w:jc w:val="both"/>
      </w:pPr>
      <w:r>
        <w:rPr>
          <w:rFonts w:ascii="Calibri" w:cs="Calibri" w:eastAsia="Calibri" w:hAnsi="Calibri"/>
          <w:b w:val="false"/>
          <w:bCs w:val="false"/>
          <w:i w:val="false"/>
          <w:iCs w:val="false"/>
          <w:color w:val="1F2937"/>
          <w:sz w:val="21"/>
          <w:szCs w:val="21"/>
        </w:rPr>
        <w:t xml:space="preserve">Pracodawca jest obowiązany zapewnić pracownikom łączenie przemienne pracy związanej z obsługą monitora ekranowego z innymi rodzajami prac nieobciążającymi narządu wzroku i wykonywanymi w innych pozycjach ciała, przy nieprzekraczaniu godziny nieprzerwanej pracy przy obsłudze monitora, </w:t>
      </w:r>
      <w:r>
        <w:rPr>
          <w:rFonts w:ascii="Calibri" w:cs="Calibri" w:eastAsia="Calibri" w:hAnsi="Calibri"/>
          <w:b/>
          <w:bCs/>
          <w:i w:val="false"/>
          <w:iCs w:val="false"/>
          <w:color w:val="1F2937"/>
          <w:sz w:val="21"/>
          <w:szCs w:val="21"/>
        </w:rPr>
        <w:t xml:space="preserve">albo</w:t>
      </w:r>
      <w:r>
        <w:rPr>
          <w:rFonts w:ascii="Calibri" w:cs="Calibri" w:eastAsia="Calibri" w:hAnsi="Calibri"/>
          <w:b w:val="false"/>
          <w:bCs w:val="false"/>
          <w:i w:val="false"/>
          <w:iCs w:val="false"/>
          <w:color w:val="1F2937"/>
          <w:sz w:val="21"/>
          <w:szCs w:val="21"/>
        </w:rPr>
        <w:t xml:space="preserve"> co najmniej pięciominutową przerwę wliczaną do czasu pracy po każdej godzinie pracy przy obsłudze monitora.</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To są dwa warianty do wyboru, a nie dwa obowiązki naraz. Pięć minut po każdej godzinie jest wariantem prostszym do rozliczenia i częściej stosowanym. Przerwa jest wliczana do czasu pracy, więc nie przedłuża dnia pracy i nie wymaga odpracowania.</w:t>
            </w:r>
          </w:p>
        </w:tc>
      </w:tr>
    </w:tbl>
    <w:p>
      <w:pPr>
        <w:spacing w:after="140"/>
      </w:pPr>
    </w:p>
    <w:p>
      <w:pPr>
        <w:spacing w:after="110" w:before="240"/>
      </w:pPr>
      <w:r>
        <w:rPr>
          <w:rFonts w:ascii="Calibri" w:cs="Calibri" w:eastAsia="Calibri" w:hAnsi="Calibri"/>
          <w:b/>
          <w:bCs/>
          <w:i w:val="false"/>
          <w:iCs w:val="false"/>
          <w:color w:val="0F172A"/>
          <w:sz w:val="23"/>
          <w:szCs w:val="23"/>
        </w:rPr>
        <w:t xml:space="preserve">3.4. Jak ustawić stanowisko</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1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Element</w:t>
            </w:r>
          </w:p>
        </w:tc>
        <w:tc>
          <w:tcPr>
            <w:tcW w:type="pct" w:w="48%"/>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Ustawienie</w:t>
            </w:r>
          </w:p>
        </w:tc>
        <w:tc>
          <w:tcPr>
            <w:tcW w:type="pct" w:w="3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Najczęstszy błąd</w:t>
            </w:r>
          </w:p>
        </w:tc>
      </w:tr>
      <w:tr>
        <w:tc>
          <w:tcPr>
            <w:tcW w:type="pct" w:w="1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Monitor</w:t>
            </w:r>
          </w:p>
        </w:tc>
        <w:tc>
          <w:tcPr>
            <w:tcW w:type="pct" w:w="4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Górna krawędź ekranu na wysokości oczu albo nieco niżej, odległość mniej więcej na wyciągnięcie ręki, ekran ustawiony bokiem do okna</w:t>
            </w:r>
          </w:p>
        </w:tc>
        <w:tc>
          <w:tcPr>
            <w:tcW w:type="pct" w:w="3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Ekran naprzeciw okna albo tyłem do okna, co daje odbicia i pracę pod światło</w:t>
            </w:r>
          </w:p>
        </w:tc>
      </w:tr>
      <w:tr>
        <w:tc>
          <w:tcPr>
            <w:tcW w:type="pct" w:w="1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Krzesło</w:t>
            </w:r>
          </w:p>
        </w:tc>
        <w:tc>
          <w:tcPr>
            <w:tcW w:type="pct" w:w="4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Stopy oparte płasko na podłodze albo na podnóżku, kąt w kolanach zbliżony do prostego, oparcie podpierające odcinek lędźwiowy, podłokietniki na wysokości blatu</w:t>
            </w:r>
          </w:p>
        </w:tc>
        <w:tc>
          <w:tcPr>
            <w:tcW w:type="pct" w:w="3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Siedzenie na krawędzi, brak podparcia pleców, podłokietniki wyżej niż blat</w:t>
            </w:r>
          </w:p>
        </w:tc>
      </w:tr>
      <w:tr>
        <w:tc>
          <w:tcPr>
            <w:tcW w:type="pct" w:w="1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Klawiatura i mysz</w:t>
            </w:r>
          </w:p>
        </w:tc>
        <w:tc>
          <w:tcPr>
            <w:tcW w:type="pct" w:w="4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Blisko krawędzi blatu, przedramiona podparte, nadgarstki proste</w:t>
            </w:r>
          </w:p>
        </w:tc>
        <w:tc>
          <w:tcPr>
            <w:tcW w:type="pct" w:w="3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Klawiatura odsunięta w głąb blatu, praca z nadgarstkiem zgiętym ku górze</w:t>
            </w:r>
          </w:p>
        </w:tc>
      </w:tr>
      <w:tr>
        <w:tc>
          <w:tcPr>
            <w:tcW w:type="pct" w:w="1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Oświetlenie</w:t>
            </w:r>
          </w:p>
        </w:tc>
        <w:tc>
          <w:tcPr>
            <w:tcW w:type="pct" w:w="4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Światło z boku, bez odbić na ekranie, dodatkowa lampka na dokumenty</w:t>
            </w:r>
          </w:p>
        </w:tc>
        <w:tc>
          <w:tcPr>
            <w:tcW w:type="pct" w:w="3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Jedno górne źródło światła i praca w półmroku po zmroku</w:t>
            </w:r>
          </w:p>
        </w:tc>
      </w:tr>
      <w:tr>
        <w:tc>
          <w:tcPr>
            <w:tcW w:type="pct" w:w="1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Dokumenty</w:t>
            </w:r>
          </w:p>
        </w:tc>
        <w:tc>
          <w:tcPr>
            <w:tcW w:type="pct" w:w="4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Uchwyt na dokumenty na wysokości ekranu, po tej samej stronie</w:t>
            </w:r>
          </w:p>
        </w:tc>
        <w:tc>
          <w:tcPr>
            <w:tcW w:type="pct" w:w="3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Dokumenty płasko na blacie, co wymusza ciągłe skręcanie i pochylanie głowy</w:t>
            </w:r>
          </w:p>
        </w:tc>
      </w:tr>
    </w:tbl>
    <w:p>
      <w:pPr>
        <w:spacing w:after="160"/>
      </w:pPr>
    </w:p>
    <w:p>
      <w:pPr>
        <w:spacing w:after="110" w:before="240"/>
      </w:pPr>
      <w:r>
        <w:rPr>
          <w:rFonts w:ascii="Calibri" w:cs="Calibri" w:eastAsia="Calibri" w:hAnsi="Calibri"/>
          <w:b/>
          <w:bCs/>
          <w:i w:val="false"/>
          <w:iCs w:val="false"/>
          <w:color w:val="0F172A"/>
          <w:sz w:val="23"/>
          <w:szCs w:val="23"/>
        </w:rPr>
        <w:t xml:space="preserve">3.5. Ćwiczenia śródpracownicze</w:t>
      </w:r>
    </w:p>
    <w:p>
      <w:pPr>
        <w:spacing w:after="130" w:line="300"/>
        <w:jc w:val="both"/>
      </w:pPr>
      <w:r>
        <w:rPr>
          <w:rFonts w:ascii="Calibri" w:cs="Calibri" w:eastAsia="Calibri" w:hAnsi="Calibri"/>
          <w:b w:val="false"/>
          <w:bCs w:val="false"/>
          <w:i w:val="false"/>
          <w:iCs w:val="false"/>
          <w:color w:val="1F2937"/>
          <w:sz w:val="21"/>
          <w:szCs w:val="21"/>
        </w:rPr>
        <w:t xml:space="preserve">Przerwa ma sens tylko wtedy, gdy zmienia pozycję ciała i odciąża wzrok. Wystarczą proste czynności powtarzane kilka razy dziennie: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wzrok: co jakiś czas spojrzenie na przedmiot oddalony o kilka metrów na kilkanaście sekund, świadome mruganie, przewietrzenie pomieszczenia,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kark i barki: powolne skłony głowy w bok, krążenia barków, odsunięcie łopatek w dół i do tyłu,</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nadgarstki: prostowanie i zginanie dłoni, rozluźnienie palców,</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kręgosłup i nogi: wstanie, kilka kroków, wyprost odcinka piersiowego.</w:t>
      </w:r>
    </w:p>
    <w:p>
      <w:pPr>
        <w:spacing w:after="110" w:before="240"/>
      </w:pPr>
      <w:r>
        <w:rPr>
          <w:rFonts w:ascii="Calibri" w:cs="Calibri" w:eastAsia="Calibri" w:hAnsi="Calibri"/>
          <w:b/>
          <w:bCs/>
          <w:i w:val="false"/>
          <w:iCs w:val="false"/>
          <w:color w:val="0F172A"/>
          <w:sz w:val="23"/>
          <w:szCs w:val="23"/>
        </w:rPr>
        <w:t xml:space="preserve">3.6. Pozostałe wyposażenie biura</w:t>
      </w:r>
    </w:p>
    <w:p>
      <w:pPr>
        <w:spacing w:after="130" w:line="300"/>
        <w:jc w:val="both"/>
      </w:pPr>
      <w:r>
        <w:rPr>
          <w:rFonts w:ascii="Calibri" w:cs="Calibri" w:eastAsia="Calibri" w:hAnsi="Calibri"/>
          <w:b w:val="false"/>
          <w:bCs w:val="false"/>
          <w:i w:val="false"/>
          <w:iCs w:val="false"/>
          <w:color w:val="1F2937"/>
          <w:sz w:val="21"/>
          <w:szCs w:val="21"/>
        </w:rPr>
        <w:t xml:space="preserve">Urządzenia biurowe też mają swoje zasady. Drukarki i kopiarki o dużej wydajności ustawia się w pomieszczeniach z wentylacją, a nie przy stanowisku pracy. Niszczarki wymagają uwagi przy podawaniu dokumentów i odłączenia zasilania przy usuwaniu zaciętego papieru. Czajniki i sprzęt AGD podłącza się do sprawnych gniazd, bez przedłużaczy łączonych szeregowo. Regały i szafy zabezpiecza się przed przewróceniem, a ciężkie segregatory układa na niższych półkach.</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Ciągi komunikacyjne i drogi ewakuacyjne mają zostać drożne. Kartony przy przejściu, kable w poprzek podłogi i otwarte szuflady to trzy najczęstsze przyczyny urazów w biurze i jednocześnie trzy rzeczy, które każdy może usunąć sam.</w:t>
            </w:r>
          </w:p>
        </w:tc>
      </w:tr>
    </w:tbl>
    <w:p>
      <w:pPr>
        <w:spacing w:after="140"/>
      </w:pPr>
    </w:p>
    <w:p>
      <w:pPr>
        <w:spacing w:after="110" w:before="240"/>
      </w:pPr>
      <w:r>
        <w:rPr>
          <w:rFonts w:ascii="Calibri" w:cs="Calibri" w:eastAsia="Calibri" w:hAnsi="Calibri"/>
          <w:b/>
          <w:bCs/>
          <w:i w:val="false"/>
          <w:iCs w:val="false"/>
          <w:color w:val="0F172A"/>
          <w:sz w:val="23"/>
          <w:szCs w:val="23"/>
        </w:rPr>
        <w:t xml:space="preserve">3.7. Minimalne wymagania z załącznika do rozporządzenia</w:t>
      </w:r>
    </w:p>
    <w:p>
      <w:pPr>
        <w:spacing w:after="130" w:line="300"/>
        <w:jc w:val="both"/>
      </w:pPr>
      <w:r>
        <w:rPr>
          <w:rFonts w:ascii="Calibri" w:cs="Calibri" w:eastAsia="Calibri" w:hAnsi="Calibri"/>
          <w:b w:val="false"/>
          <w:bCs w:val="false"/>
          <w:i w:val="false"/>
          <w:iCs w:val="false"/>
          <w:color w:val="1F2937"/>
          <w:sz w:val="21"/>
          <w:szCs w:val="21"/>
        </w:rPr>
        <w:t xml:space="preserve">Załącznik do rozporządzenia o monitorach ekranowych podaje wymagania, które stanowisko ma spełniać. Poniżej ich streszczenie. Przy zakupie sprzętu warto mieć je pod ręką, bo część jest twarda: krzesło bez regulowanych podłokietników albo bez podstawy pięciopodporowej po prostu nie spełnia przepisu.</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tblGrid>
      <w:tr>
        <w:trPr>
          <w:tblHeader/>
        </w:trPr>
        <w:tc>
          <w:tcPr>
            <w:tcW w:type="pct" w:w="2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Element</w:t>
            </w:r>
          </w:p>
        </w:tc>
        <w:tc>
          <w:tcPr>
            <w:tcW w:type="pct" w:w="78%"/>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Wymagania</w:t>
            </w:r>
          </w:p>
        </w:tc>
      </w:tr>
      <w:tr>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Monitor</w:t>
            </w:r>
          </w:p>
        </w:tc>
        <w:tc>
          <w:tcPr>
            <w:tcW w:type="pct" w:w="7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Znaki wyraźne i czytelne, obraz stabilny bez migotania, łatwa regulacja jaskrawości i kontrastu, możliwość pochylenia ekranu. Górna krawędź monitora na wysokości oczu pracownika. Ustawienie względem źródeł światła ograniczające olśnienie i odbicia światła.</w:t>
            </w:r>
          </w:p>
        </w:tc>
      </w:tr>
      <w:tr>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Klawiatura i mysz</w:t>
            </w:r>
          </w:p>
        </w:tc>
        <w:tc>
          <w:tcPr>
            <w:tcW w:type="pct" w:w="7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Osobne elementy wyposażenia podstawowego. Konstrukcja klawiatury umożliwiająca pozycję niepowodującą zmęczenia mięśni kończyn górnych. Powierzchnia matowa, znaki kontrastowe i czytelne.</w:t>
            </w:r>
          </w:p>
        </w:tc>
      </w:tr>
      <w:tr>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Stół</w:t>
            </w:r>
          </w:p>
        </w:tc>
        <w:tc>
          <w:tcPr>
            <w:tcW w:type="pct" w:w="7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Wystarczająca powierzchnia, zróżnicowana wysokość ustawienia monitora i klawiatury, ustawienie klawiatury w odległości od przedniej krawędzi pozwalającej podeprzeć ręce i przedramiona z zachowaniem co najmniej kąta prostego między ramieniem a przedramieniem, przestrzeń na nogi pod blatem, blat matowy.</w:t>
            </w:r>
          </w:p>
        </w:tc>
      </w:tr>
      <w:tr>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Krzesło</w:t>
            </w:r>
          </w:p>
        </w:tc>
        <w:tc>
          <w:tcPr>
            <w:tcW w:type="pct" w:w="7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Podstawa co najmniej pięciopodporowa z kółkami jezdnymi, regulacja wysokości siedziska, regulacja wysokości oparcia odcinka lędźwiowego, regulacja kąta pochylenia oparcia, wyprofilowanie siedziska i oparcia, obrót o 360 stopni, regulowane podłokietniki.</w:t>
            </w:r>
          </w:p>
        </w:tc>
      </w:tr>
      <w:tr>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Laptop używany na stanowisku</w:t>
            </w:r>
          </w:p>
        </w:tc>
        <w:tc>
          <w:tcPr>
            <w:tcW w:type="pct" w:w="7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Stanowisko wyposaża się w stacjonarny monitor ekranowy albo w podstawkę ustawiającą górną krawędź ekranu na wysokości oczu, oraz w dodatkową klawiaturę i mysz.</w:t>
            </w:r>
          </w:p>
        </w:tc>
      </w:tr>
    </w:tbl>
    <w:p>
      <w:pPr>
        <w:spacing w:after="160"/>
      </w:pP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Wymaganie dotyczące laptopa jest nowe: weszło w życie 17 listopada 2023 r. Praca przez pół dnia na samym laptopie, bez podstawki i bez osobnej klawiatury, nie spełnia przepisu.</w:t>
            </w:r>
          </w:p>
        </w:tc>
      </w:tr>
    </w:tbl>
    <w:p>
      <w:pPr>
        <w:spacing w:after="140"/>
      </w:pPr>
    </w:p>
    <w:p>
      <w:pPr>
        <w:spacing w:after="110" w:before="240"/>
      </w:pPr>
      <w:r>
        <w:rPr>
          <w:rFonts w:ascii="Calibri" w:cs="Calibri" w:eastAsia="Calibri" w:hAnsi="Calibri"/>
          <w:b/>
          <w:bCs/>
          <w:i w:val="false"/>
          <w:iCs w:val="false"/>
          <w:color w:val="0F172A"/>
          <w:sz w:val="23"/>
          <w:szCs w:val="23"/>
        </w:rPr>
        <w:t xml:space="preserve">3.8. Praca w przestrzeni otwartej i w domu</w:t>
      </w:r>
    </w:p>
    <w:p>
      <w:pPr>
        <w:spacing w:after="130" w:line="300"/>
        <w:jc w:val="both"/>
      </w:pPr>
      <w:r>
        <w:rPr>
          <w:rFonts w:ascii="Calibri" w:cs="Calibri" w:eastAsia="Calibri" w:hAnsi="Calibri"/>
          <w:b w:val="false"/>
          <w:bCs w:val="false"/>
          <w:i w:val="false"/>
          <w:iCs w:val="false"/>
          <w:color w:val="1F2937"/>
          <w:sz w:val="21"/>
          <w:szCs w:val="21"/>
        </w:rPr>
        <w:t xml:space="preserve">W biurze otwartym dochodzą dwa problemy, których nie ma w pokoju: hałas rozmów i brak możliwości skupienia. Rozwiązaniem są strefy ciszy, zasady dotyczące rozmów telefonicznych i spotkań oraz uzgodnione godziny pracy w skupieniu, a nie słuchawki z muzyką jako jedyna odpowiedź.</w:t>
      </w:r>
    </w:p>
    <w:p>
      <w:pPr>
        <w:spacing w:after="130" w:line="300"/>
        <w:jc w:val="both"/>
      </w:pPr>
      <w:r>
        <w:rPr>
          <w:rFonts w:ascii="Calibri" w:cs="Calibri" w:eastAsia="Calibri" w:hAnsi="Calibri"/>
          <w:b w:val="false"/>
          <w:bCs w:val="false"/>
          <w:i w:val="false"/>
          <w:iCs w:val="false"/>
          <w:color w:val="1F2937"/>
          <w:sz w:val="21"/>
          <w:szCs w:val="21"/>
        </w:rPr>
        <w:t xml:space="preserve">Przy pracy zdalnej stanowisko urządza się według tych samych zasad ergonomii. Stół kuchenny i krzesło bez regulacji nadają się na godzinę, nie na osiem. Jeżeli praca zdalna jest stała, warto zgłosić pracodawcy, czego brakuje: ocena ryzyka zawodowego przy pracy zdalnej ma uwzględniać wpływ tej pracy na wzrok i układ mięśniowo-szkieletowy, więc jest to właściwe miejsce na takie ustalenia.</w:t>
      </w:r>
    </w:p>
    <w:p>
      <w:pPr>
        <w:spacing w:after="110" w:before="240"/>
      </w:pPr>
      <w:r>
        <w:rPr>
          <w:rFonts w:ascii="Calibri" w:cs="Calibri" w:eastAsia="Calibri" w:hAnsi="Calibri"/>
          <w:b/>
          <w:bCs/>
          <w:i w:val="false"/>
          <w:iCs w:val="false"/>
          <w:color w:val="0F172A"/>
          <w:sz w:val="23"/>
          <w:szCs w:val="23"/>
        </w:rPr>
        <w:t xml:space="preserve">3.9. Wzrok: co realnie pomaga</w:t>
      </w:r>
    </w:p>
    <w:p>
      <w:pPr>
        <w:spacing w:after="130" w:line="300"/>
        <w:jc w:val="both"/>
      </w:pPr>
      <w:r>
        <w:rPr>
          <w:rFonts w:ascii="Calibri" w:cs="Calibri" w:eastAsia="Calibri" w:hAnsi="Calibri"/>
          <w:b w:val="false"/>
          <w:bCs w:val="false"/>
          <w:i w:val="false"/>
          <w:iCs w:val="false"/>
          <w:color w:val="1F2937"/>
          <w:sz w:val="21"/>
          <w:szCs w:val="21"/>
        </w:rPr>
        <w:t xml:space="preserve">Zmęczenie wzroku przy monitorze bierze się z trzech rzeczy naraz: długiego patrzenia na jedną odległość, rzadszego mrugania i nieodpowiedniego oświetlenia. Każdą da się ograniczyć.</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Zmiana odległości patrzenia: co jakiś czas spojrzenie przez kilkanaście sekund na przedmiot oddalony o kilka metrów. Najprościej połączyć to z przerwą przysługującą po godzinie pracy przy monitorze.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Świadome mruganie i przewietrzanie pomieszczenia. Suche, ogrzewane powietrze nasila objawy suchego oka bardziej niż sam monitor.</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Oświetlenie: ekran bokiem do okna, bez odbić, jasność ekranu zbliżona do jasności otoczenia, dodatkowa lampka na dokumenty zamiast pracy w półmroku.</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Wielkość znaków na ekranie dobrana tak, żeby nie trzeba było pochylać głowy do przodu. Powiększenie tekstu w systemie jest tańsze i skuteczniejsze niż nowe okulary.</w:t>
      </w:r>
    </w:p>
    <w:p>
      <w:pPr>
        <w:spacing w:after="130" w:line="300"/>
        <w:jc w:val="both"/>
      </w:pPr>
      <w:r>
        <w:rPr>
          <w:rFonts w:ascii="Calibri" w:cs="Calibri" w:eastAsia="Calibri" w:hAnsi="Calibri"/>
          <w:b w:val="false"/>
          <w:bCs w:val="false"/>
          <w:i w:val="false"/>
          <w:iCs w:val="false"/>
          <w:color w:val="1F2937"/>
          <w:sz w:val="21"/>
          <w:szCs w:val="21"/>
        </w:rPr>
        <w:t xml:space="preserve">Jeżeli badanie okulistyczne w ramach profilaktycznej opieki zdrowotnej wykaże potrzebę stosowania okularów albo szkieł kontaktowych podczas pracy przy monitorze, pracodawca jest obowiązany je zapewnić, zgodnie z zaleceniem lekarza.</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Objawy, z którymi warto pójść do lekarza, a nie czekać na badanie okresowe: utrzymujące się bóle głowy pod koniec dnia pracy, podwójne widzenie, pieczenie i zaczerwienienie oczu utrzymujące się po pracy, pogorszenie widzenia z bliska.</w:t>
            </w:r>
          </w:p>
        </w:tc>
      </w:tr>
    </w:tbl>
    <w:p>
      <w:pPr>
        <w:spacing w:after="140"/>
      </w:pPr>
    </w:p>
    <w:p>
      <w:pPr>
        <w:spacing w:after="60" w:before="150"/>
      </w:pPr>
      <w:r>
        <w:rPr>
          <w:rFonts w:ascii="Calibri" w:cs="Calibri" w:eastAsia="Calibri" w:hAnsi="Calibri"/>
          <w:b/>
          <w:bCs/>
          <w:i w:val="false"/>
          <w:iCs w:val="false"/>
          <w:color w:val="1F2937"/>
          <w:sz w:val="20"/>
          <w:szCs w:val="20"/>
        </w:rPr>
        <w:t xml:space="preserve">Pytanie kontrolne: Od jakiego wymiaru pracy przy monitorze stosuje się rozporządzenie o monitorach ekranowych?</w:t>
      </w:r>
    </w:p>
    <w:p>
      <w:pPr>
        <w:spacing w:after="120" w:line="290"/>
        <w:jc w:val="both"/>
      </w:pPr>
      <w:r>
        <w:rPr>
          <w:rFonts w:ascii="Calibri" w:cs="Calibri" w:eastAsia="Calibri" w:hAnsi="Calibri"/>
          <w:b w:val="false"/>
          <w:bCs w:val="false"/>
          <w:i/>
          <w:iCs/>
          <w:color w:val="595959"/>
          <w:sz w:val="20"/>
          <w:szCs w:val="20"/>
        </w:rPr>
        <w:t xml:space="preserve">Odpowiedź: Od co najmniej połowy dobowego wymiaru czasu pracy.</w:t>
      </w:r>
    </w:p>
    <w:p>
      <w:pPr>
        <w:spacing w:after="60" w:before="150"/>
      </w:pPr>
      <w:r>
        <w:rPr>
          <w:rFonts w:ascii="Calibri" w:cs="Calibri" w:eastAsia="Calibri" w:hAnsi="Calibri"/>
          <w:b/>
          <w:bCs/>
          <w:i w:val="false"/>
          <w:iCs w:val="false"/>
          <w:color w:val="1F2937"/>
          <w:sz w:val="20"/>
          <w:szCs w:val="20"/>
        </w:rPr>
        <w:t xml:space="preserve">Pytanie kontrolne: Jaka jest alternatywa dla pięciominutowej przerwy po każdej godzinie pracy przy monitorze?</w:t>
      </w:r>
    </w:p>
    <w:p>
      <w:pPr>
        <w:spacing w:after="120" w:line="290"/>
        <w:jc w:val="both"/>
      </w:pPr>
      <w:r>
        <w:rPr>
          <w:rFonts w:ascii="Calibri" w:cs="Calibri" w:eastAsia="Calibri" w:hAnsi="Calibri"/>
          <w:b w:val="false"/>
          <w:bCs w:val="false"/>
          <w:i/>
          <w:iCs/>
          <w:color w:val="595959"/>
          <w:sz w:val="20"/>
          <w:szCs w:val="20"/>
        </w:rPr>
        <w:t xml:space="preserve">Odpowiedź: Łączenie przemienne pracy przy monitorze z innymi rodzajami prac nieobciążającymi wzroku i wykonywanymi w innych pozycjach ciała, przy nieprzekraczaniu godziny nieprzerwanej pracy przy monitorze.</w:t>
      </w:r>
    </w:p>
    <w:p>
      <w:pPr>
        <w:spacing w:after="60" w:before="150"/>
      </w:pPr>
      <w:r>
        <w:rPr>
          <w:rFonts w:ascii="Calibri" w:cs="Calibri" w:eastAsia="Calibri" w:hAnsi="Calibri"/>
          <w:b/>
          <w:bCs/>
          <w:i w:val="false"/>
          <w:iCs w:val="false"/>
          <w:color w:val="1F2937"/>
          <w:sz w:val="20"/>
          <w:szCs w:val="20"/>
        </w:rPr>
        <w:t xml:space="preserve">Pytanie kontrolne: Czy pracodawca musi zapewnić szkła kontaktowe, jeżeli tak zaleci lekarz?</w:t>
      </w:r>
    </w:p>
    <w:p>
      <w:pPr>
        <w:spacing w:after="120" w:line="290"/>
        <w:jc w:val="both"/>
      </w:pPr>
      <w:r>
        <w:rPr>
          <w:rFonts w:ascii="Calibri" w:cs="Calibri" w:eastAsia="Calibri" w:hAnsi="Calibri"/>
          <w:b w:val="false"/>
          <w:bCs w:val="false"/>
          <w:i/>
          <w:iCs/>
          <w:color w:val="595959"/>
          <w:sz w:val="20"/>
          <w:szCs w:val="20"/>
        </w:rPr>
        <w:t xml:space="preserve">Odpowiedź: Tak. Od zmiany obowiązującej od 17 listopada 2023 r. przepis wymienia okulary lub szkła kontaktowe korygujące wzrok, zgodne z zaleceniem lekarza.</w:t>
      </w:r>
    </w:p>
    <w:p>
      <w:pPr>
        <w:spacing w:after="180" w:before="320"/>
      </w:pPr>
      <w:r>
        <w:rPr>
          <w:rFonts w:ascii="Calibri" w:cs="Calibri" w:eastAsia="Calibri" w:hAnsi="Calibri"/>
          <w:b/>
          <w:bCs/>
          <w:i w:val="false"/>
          <w:iCs w:val="false"/>
          <w:color w:val="0F172A"/>
          <w:sz w:val="28"/>
          <w:szCs w:val="28"/>
        </w:rPr>
        <w:t xml:space="preserve">Moduł 4. Wypadki, sytuacje awaryjne i pierwsza pomoc</w:t>
      </w:r>
    </w:p>
    <w:p>
      <w:pPr>
        <w:spacing w:after="130" w:line="300"/>
        <w:jc w:val="both"/>
      </w:pPr>
      <w:r>
        <w:rPr>
          <w:rFonts w:ascii="Calibri" w:cs="Calibri" w:eastAsia="Calibri" w:hAnsi="Calibri"/>
          <w:b w:val="false"/>
          <w:bCs w:val="false"/>
          <w:i w:val="false"/>
          <w:iCs w:val="false"/>
          <w:color w:val="1F2937"/>
          <w:sz w:val="21"/>
          <w:szCs w:val="21"/>
        </w:rPr>
        <w:t xml:space="preserve">Czas: 2 godziny lekcyjne. Zakres z ramowego programu: postępowanie w razie wypadków i w sytuacjach zagrożeń, na przykład pożaru albo awarii, w tym zasady udzielania pierwszej pomocy w razie wypadku.</w:t>
      </w:r>
    </w:p>
    <w:p>
      <w:pPr>
        <w:spacing w:after="110" w:before="240"/>
      </w:pPr>
      <w:r>
        <w:rPr>
          <w:rFonts w:ascii="Calibri" w:cs="Calibri" w:eastAsia="Calibri" w:hAnsi="Calibri"/>
          <w:b/>
          <w:bCs/>
          <w:i w:val="false"/>
          <w:iCs w:val="false"/>
          <w:color w:val="0F172A"/>
          <w:sz w:val="23"/>
          <w:szCs w:val="23"/>
        </w:rPr>
        <w:t xml:space="preserve">4.1. Co robić bezpośrednio po zdarzeniu</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Zabezpieczyć miejsce zdarzenia i usunąć zagrożenie, jeżeli da się to zrobić bez narażania siebie.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Udzielić pierwszej pomocy i w razie potrzeby wezwać pomoc: numer 112 albo 999.</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Zawiadomić przełożonego, nawet jeżeli uraz wygląda na drobny.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Nie zmieniać stanu miejsca zdarzenia do czasu ustaleń zespołu powypadkowego, poza czynnościami ratowniczymi i zabezpieczeniem przed dalszym zagrożeniem.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Zapisać, co się stało: godzinę, przebieg, świadków. Pamięć zaciera szczegóły szybciej, niż się wydaje, a to one rozstrzygają o uznaniu zdarzenia za wypadek.</w:t>
      </w:r>
    </w:p>
    <w:p>
      <w:pPr>
        <w:spacing w:after="110" w:before="240"/>
      </w:pPr>
      <w:r>
        <w:rPr>
          <w:rFonts w:ascii="Calibri" w:cs="Calibri" w:eastAsia="Calibri" w:hAnsi="Calibri"/>
          <w:b/>
          <w:bCs/>
          <w:i w:val="false"/>
          <w:iCs w:val="false"/>
          <w:color w:val="0F172A"/>
          <w:sz w:val="23"/>
          <w:szCs w:val="23"/>
        </w:rPr>
        <w:t xml:space="preserve">4.2. Organizacja pierwszej pomocy i ewakuacji w zakładzie</w:t>
      </w:r>
    </w:p>
    <w:p>
      <w:pPr>
        <w:spacing w:after="130" w:line="300"/>
        <w:jc w:val="both"/>
      </w:pPr>
      <w:r>
        <w:rPr>
          <w:rFonts w:ascii="Calibri" w:cs="Calibri" w:eastAsia="Calibri" w:hAnsi="Calibri"/>
          <w:b w:val="false"/>
          <w:bCs w:val="false"/>
          <w:i w:val="false"/>
          <w:iCs w:val="false"/>
          <w:color w:val="1F2937"/>
          <w:sz w:val="21"/>
          <w:szCs w:val="21"/>
        </w:rPr>
        <w:t xml:space="preserve">Art. 2091 KP nakłada na pracodawcę trzy obowiązki: zapewnić środki niezbędne do udzielania pierwszej pomocy w nagłych wypadkach, zwalczania pożarów i ewakuacji pracowników; wyznaczyć pracowników do udzielania pierwszej pomocy oraz do wykonywania działań w zakresie zwalczania pożarów i ewakuacji; zapewnić łączność ze służbami zewnętrznymi, w szczególności w zakresie udzielania pierwszej pomocy w nagłych wypadkach, ratownictwa medycznego i ochrony przeciwpożarowej.</w:t>
      </w:r>
    </w:p>
    <w:p>
      <w:pPr>
        <w:spacing w:after="130" w:line="300"/>
        <w:jc w:val="both"/>
      </w:pPr>
      <w:r>
        <w:rPr>
          <w:rFonts w:ascii="Calibri" w:cs="Calibri" w:eastAsia="Calibri" w:hAnsi="Calibri"/>
          <w:b w:val="false"/>
          <w:bCs w:val="false"/>
          <w:i w:val="false"/>
          <w:iCs w:val="false"/>
          <w:color w:val="1F2937"/>
          <w:sz w:val="21"/>
          <w:szCs w:val="21"/>
        </w:rPr>
        <w:t xml:space="preserve">Liczba wyznaczonych pracowników, ich szkolenie i wyposażenie mają uwzględniać rodzaj i poziom występujących zagrożeń. Nazwiska tych osób oraz miejsca, w których znajdują się apteczki i sprzęt gaśniczy, powinny być znane wszystkim, a nie tylko służbie bhp.</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Sprawdź teraz, zanim będzie potrzebne: kto w Twoim miejscu pracy jest wyznaczony do udzielania pierwszej pomocy, gdzie wisi najbliższa gaśnica, gdzie jest apteczka i którędy biegnie droga ewakuacyjna z Twojego pokoju. Jeżeli nie znasz odpowiedzi na którekolwiek z tych pytań, to jest pierwsza rzecz do zrobienia po tym szkoleniu.</w:t>
            </w:r>
          </w:p>
        </w:tc>
      </w:tr>
    </w:tbl>
    <w:p>
      <w:pPr>
        <w:spacing w:after="140"/>
      </w:pPr>
    </w:p>
    <w:p>
      <w:pPr>
        <w:spacing w:after="110" w:before="240"/>
      </w:pPr>
      <w:r>
        <w:rPr>
          <w:rFonts w:ascii="Calibri" w:cs="Calibri" w:eastAsia="Calibri" w:hAnsi="Calibri"/>
          <w:b/>
          <w:bCs/>
          <w:i w:val="false"/>
          <w:iCs w:val="false"/>
          <w:color w:val="0F172A"/>
          <w:sz w:val="23"/>
          <w:szCs w:val="23"/>
        </w:rPr>
        <w:t xml:space="preserve">4.3. Ewakuacja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Po ogłoszeniu alarmu przerwać pracę, zabrać ze sobą wyłącznie rzeczy będące pod ręką i opuścić pomieszczenie.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Zamknąć za sobą drzwi, nie zamykać ich na klucz.</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Poruszać się drogami ewakuacyjnymi, nie korzystać z wind.</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W zadymieniu poruszać się nisko, przy podłodze, gdzie powietrze jest chłodniejsze i mniej zadymione.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Zebrać się w wyznaczonym miejscu zbiórki i zgłosić się osobie prowadzącej ewakuację.</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Nie wracać do budynku bez zgody kierującego działaniem ratowniczym.</w:t>
      </w:r>
    </w:p>
    <w:p>
      <w:pPr>
        <w:spacing w:after="110" w:before="240"/>
      </w:pPr>
      <w:r>
        <w:rPr>
          <w:rFonts w:ascii="Calibri" w:cs="Calibri" w:eastAsia="Calibri" w:hAnsi="Calibri"/>
          <w:b/>
          <w:bCs/>
          <w:i w:val="false"/>
          <w:iCs w:val="false"/>
          <w:color w:val="0F172A"/>
          <w:sz w:val="23"/>
          <w:szCs w:val="23"/>
        </w:rPr>
        <w:t xml:space="preserve">4.4. Pierwsza pomoc: podstawowy schemat</w:t>
      </w:r>
    </w:p>
    <w:p>
      <w:pPr>
        <w:spacing w:after="130" w:line="300"/>
        <w:jc w:val="both"/>
      </w:pPr>
      <w:r>
        <w:rPr>
          <w:rFonts w:ascii="Calibri" w:cs="Calibri" w:eastAsia="Calibri" w:hAnsi="Calibri"/>
          <w:b w:val="false"/>
          <w:bCs w:val="false"/>
          <w:i w:val="false"/>
          <w:iCs w:val="false"/>
          <w:color w:val="1F2937"/>
          <w:sz w:val="21"/>
          <w:szCs w:val="21"/>
        </w:rPr>
        <w:t xml:space="preserve">Kolejność jest zawsze ta sama i zaczyna się od oceny własnego bezpieczeństwa. Ratownik, który sam stanie się poszkodowanym, nie pomoże nikomu.</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18%"/>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Krok</w:t>
            </w:r>
          </w:p>
        </w:tc>
        <w:tc>
          <w:tcPr>
            <w:tcW w:type="pct" w:w="5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Co zrobić</w:t>
            </w:r>
          </w:p>
        </w:tc>
        <w:tc>
          <w:tcPr>
            <w:tcW w:type="pct" w:w="30%"/>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Uwaga</w:t>
            </w:r>
          </w:p>
        </w:tc>
      </w:tr>
      <w:tr>
        <w:tc>
          <w:tcPr>
            <w:tcW w:type="pct" w:w="1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1. Bezpieczeństwo</w:t>
            </w:r>
          </w:p>
        </w:tc>
        <w:tc>
          <w:tcPr>
            <w:tcW w:type="pct" w:w="5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Ocenić miejsce zdarzenia: prąd, ogień, ruch, upadek z wysokości</w:t>
            </w:r>
          </w:p>
        </w:tc>
        <w:tc>
          <w:tcPr>
            <w:tcW w:type="pct" w:w="3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Najpierw usunąć zagrożenie albo poczekać na służby</w:t>
            </w:r>
          </w:p>
        </w:tc>
      </w:tr>
      <w:tr>
        <w:tc>
          <w:tcPr>
            <w:tcW w:type="pct" w:w="1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2. Przytomność</w:t>
            </w:r>
          </w:p>
        </w:tc>
        <w:tc>
          <w:tcPr>
            <w:tcW w:type="pct" w:w="5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Głośno zapytać, delikatnie potrząsnąć za ramiona</w:t>
            </w:r>
          </w:p>
        </w:tc>
        <w:tc>
          <w:tcPr>
            <w:tcW w:type="pct" w:w="30%"/>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Brak reakcji oznacza nieprzytomność</w:t>
            </w:r>
          </w:p>
        </w:tc>
      </w:tr>
      <w:tr>
        <w:tc>
          <w:tcPr>
            <w:tcW w:type="pct" w:w="1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3. Wołanie o pomoc</w:t>
            </w:r>
          </w:p>
        </w:tc>
        <w:tc>
          <w:tcPr>
            <w:tcW w:type="pct" w:w="5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Poprosić konkretną osobę o wezwanie pomocy i o przyniesienie AED</w:t>
            </w:r>
          </w:p>
        </w:tc>
        <w:tc>
          <w:tcPr>
            <w:tcW w:type="pct" w:w="3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Wskazać osobę palcem, nie wołać ogólnie</w:t>
            </w:r>
          </w:p>
        </w:tc>
      </w:tr>
      <w:tr>
        <w:tc>
          <w:tcPr>
            <w:tcW w:type="pct" w:w="1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4. Drogi oddechowe</w:t>
            </w:r>
          </w:p>
        </w:tc>
        <w:tc>
          <w:tcPr>
            <w:tcW w:type="pct" w:w="5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Odchylić głowę, unieść żuchwę</w:t>
            </w:r>
          </w:p>
        </w:tc>
        <w:tc>
          <w:tcPr>
            <w:tcW w:type="pct" w:w="30%"/>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Nie przy podejrzeniu urazu szyi, wtedy samo wysunięcie żuchwy</w:t>
            </w:r>
          </w:p>
        </w:tc>
      </w:tr>
      <w:tr>
        <w:tc>
          <w:tcPr>
            <w:tcW w:type="pct" w:w="18%"/>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5. Oddech</w:t>
            </w:r>
          </w:p>
        </w:tc>
        <w:tc>
          <w:tcPr>
            <w:tcW w:type="pct" w:w="5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Patrzeć, słuchać, czuć przez nie dłużej niż 10 sekund</w:t>
            </w:r>
          </w:p>
        </w:tc>
        <w:tc>
          <w:tcPr>
            <w:tcW w:type="pct" w:w="30%"/>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Pojedyncze westchnienia to nie jest prawidłowy oddech</w:t>
            </w:r>
          </w:p>
        </w:tc>
      </w:tr>
      <w:tr>
        <w:tc>
          <w:tcPr>
            <w:tcW w:type="pct" w:w="18%"/>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6. Decyzja</w:t>
            </w:r>
          </w:p>
        </w:tc>
        <w:tc>
          <w:tcPr>
            <w:tcW w:type="pct" w:w="5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Oddycha prawidłowo: pozycja boczna bezpieczna. Nie oddycha: resuscytacja</w:t>
            </w:r>
          </w:p>
        </w:tc>
        <w:tc>
          <w:tcPr>
            <w:tcW w:type="pct" w:w="30%"/>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Do przyjazdu pogotowia nie zostawiać poszkodowanego samego</w:t>
            </w:r>
          </w:p>
        </w:tc>
      </w:tr>
    </w:tbl>
    <w:p>
      <w:pPr>
        <w:spacing w:after="160"/>
      </w:pPr>
    </w:p>
    <w:p>
      <w:pPr>
        <w:spacing w:after="110" w:before="240"/>
      </w:pPr>
      <w:r>
        <w:rPr>
          <w:rFonts w:ascii="Calibri" w:cs="Calibri" w:eastAsia="Calibri" w:hAnsi="Calibri"/>
          <w:b/>
          <w:bCs/>
          <w:i w:val="false"/>
          <w:iCs w:val="false"/>
          <w:color w:val="0F172A"/>
          <w:sz w:val="23"/>
          <w:szCs w:val="23"/>
        </w:rPr>
        <w:t xml:space="preserve">4.5. Resuscytacja krążeniowo-oddechowa i AED</w:t>
      </w:r>
    </w:p>
    <w:p>
      <w:pPr>
        <w:spacing w:after="130" w:line="300"/>
        <w:jc w:val="both"/>
      </w:pPr>
      <w:r>
        <w:rPr>
          <w:rFonts w:ascii="Calibri" w:cs="Calibri" w:eastAsia="Calibri" w:hAnsi="Calibri"/>
          <w:b w:val="false"/>
          <w:bCs w:val="false"/>
          <w:i w:val="false"/>
          <w:iCs w:val="false"/>
          <w:color w:val="1F2937"/>
          <w:sz w:val="21"/>
          <w:szCs w:val="21"/>
        </w:rPr>
        <w:t xml:space="preserve">U osoby dorosłej, która nie reaguje i nie oddycha prawidłowo, wykonuje się uciśnięcia klatki piersiowej na środku mostka, na głębokość mniej więcej jednej trzeciej wymiaru klatki piersiowej, w tempie około stu do stu dwudziestu uciśnięć na minutę, przeplatane dwoma oddechami ratowniczymi po każdych trzydziestu uciśnięciach. Osoba nieprzeszkolona albo niechętna do prowadzenia oddechów wykonuje same uciśnięcia bez przerw.</w:t>
      </w:r>
    </w:p>
    <w:p>
      <w:pPr>
        <w:spacing w:after="130" w:line="300"/>
        <w:jc w:val="both"/>
      </w:pPr>
      <w:r>
        <w:rPr>
          <w:rFonts w:ascii="Calibri" w:cs="Calibri" w:eastAsia="Calibri" w:hAnsi="Calibri"/>
          <w:b w:val="false"/>
          <w:bCs w:val="false"/>
          <w:i w:val="false"/>
          <w:iCs w:val="false"/>
          <w:color w:val="1F2937"/>
          <w:sz w:val="21"/>
          <w:szCs w:val="21"/>
        </w:rPr>
        <w:t xml:space="preserve">Automatyczny defibrylator zewnętrzny (AED) prowadzi ratownika głosem. Urządzenie samo ocenia rytm serca i decyduje, czy wyładowanie jest potrzebne, więc nie da się nim zaszkodzić przez pomyłkę. Elektrody nakleja się zgodnie z rysunkiem, a w czasie analizy rytmu i wyładowania nikt nie może dotykać poszkodowanego.</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Dyspozytor numeru 112 albo 999 prowadzi rozmowę krok po kroku i mówi, co robić. Warto włączyć głośnik w telefonie i wykonywać jego polecenia, zamiast odkładać telefon i działać z pamięci.</w:t>
            </w:r>
          </w:p>
        </w:tc>
      </w:tr>
    </w:tbl>
    <w:p>
      <w:pPr>
        <w:spacing w:after="140"/>
      </w:pPr>
    </w:p>
    <w:p>
      <w:pPr>
        <w:spacing w:after="110" w:before="240"/>
      </w:pPr>
      <w:r>
        <w:rPr>
          <w:rFonts w:ascii="Calibri" w:cs="Calibri" w:eastAsia="Calibri" w:hAnsi="Calibri"/>
          <w:b/>
          <w:bCs/>
          <w:i w:val="false"/>
          <w:iCs w:val="false"/>
          <w:color w:val="0F172A"/>
          <w:sz w:val="23"/>
          <w:szCs w:val="23"/>
        </w:rPr>
        <w:t xml:space="preserve">4.6. Sytuacje, które zdarzają się w biurze</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tblGrid>
      <w:tr>
        <w:trPr>
          <w:tblHeader/>
        </w:trPr>
        <w:tc>
          <w:tcPr>
            <w:tcW w:type="pct" w:w="3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Sytuacja</w:t>
            </w:r>
          </w:p>
        </w:tc>
        <w:tc>
          <w:tcPr>
            <w:tcW w:type="pct" w:w="6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Co robić</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Zadławienie, osoba kaszle</w:t>
            </w:r>
          </w:p>
        </w:tc>
        <w:tc>
          <w:tcPr>
            <w:tcW w:type="pct" w:w="6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Zachęcać do kaszlu, nie klepać i nie przerywać kaszlu</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Zadławienie, osoba nie może kaszleć</w:t>
            </w:r>
          </w:p>
        </w:tc>
        <w:tc>
          <w:tcPr>
            <w:tcW w:type="pct" w:w="6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Pięć uderzeń między łopatki, potem pięć uciśnięć nadbrzusza, na przemian</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Omdlenie</w:t>
            </w:r>
          </w:p>
        </w:tc>
        <w:tc>
          <w:tcPr>
            <w:tcW w:type="pct" w:w="6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Ułożyć na plecach, unieść nogi, zapewnić dopływ powietrza, po odzyskaniu przytomności nie podawać nic do picia od razu</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Skaleczenie</w:t>
            </w:r>
          </w:p>
        </w:tc>
        <w:tc>
          <w:tcPr>
            <w:tcW w:type="pct" w:w="6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Ucisk bezpośrednio na ranę czystym opatrunkiem, uniesienie kończyny</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Oparzenie gorącym napojem</w:t>
            </w:r>
          </w:p>
        </w:tc>
        <w:tc>
          <w:tcPr>
            <w:tcW w:type="pct" w:w="6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Chłodzić wodą o temperaturze pokojowej przez kilkanaście minut, zdjąć biżuterię, nie przekłuwać pęcherzy</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Podejrzenie zawału albo udaru</w:t>
            </w:r>
          </w:p>
        </w:tc>
        <w:tc>
          <w:tcPr>
            <w:tcW w:type="pct" w:w="6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Natychmiast 112 albo 999, wygodna pozycja, nie pozwolić na wysiłek, nie podawać jedzenia</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Porażenie prądem</w:t>
            </w:r>
          </w:p>
        </w:tc>
        <w:tc>
          <w:tcPr>
            <w:tcW w:type="pct" w:w="6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Najpierw odłączyć zasilanie, dopiero potem dotykać poszkodowanego</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Upadek z krzesła albo drabinki</w:t>
            </w:r>
          </w:p>
        </w:tc>
        <w:tc>
          <w:tcPr>
            <w:tcW w:type="pct" w:w="6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Nie podnosić na siłę, ocenić przytomność i oddech, przy podejrzeniu urazu kręgosłupa nie przemieszczać</w:t>
            </w:r>
          </w:p>
        </w:tc>
      </w:tr>
    </w:tbl>
    <w:p>
      <w:pPr>
        <w:spacing w:after="160"/>
      </w:pPr>
    </w:p>
    <w:p>
      <w:pPr>
        <w:spacing w:after="110" w:before="240"/>
      </w:pPr>
      <w:r>
        <w:rPr>
          <w:rFonts w:ascii="Calibri" w:cs="Calibri" w:eastAsia="Calibri" w:hAnsi="Calibri"/>
          <w:b/>
          <w:bCs/>
          <w:i w:val="false"/>
          <w:iCs w:val="false"/>
          <w:color w:val="0F172A"/>
          <w:sz w:val="23"/>
          <w:szCs w:val="23"/>
        </w:rPr>
        <w:t xml:space="preserve">4.7. Apteczka i punkty pierwszej pomocy</w:t>
      </w:r>
    </w:p>
    <w:p>
      <w:pPr>
        <w:spacing w:after="130" w:line="300"/>
        <w:jc w:val="both"/>
      </w:pPr>
      <w:r>
        <w:rPr>
          <w:rFonts w:ascii="Calibri" w:cs="Calibri" w:eastAsia="Calibri" w:hAnsi="Calibri"/>
          <w:b w:val="false"/>
          <w:bCs w:val="false"/>
          <w:i w:val="false"/>
          <w:iCs w:val="false"/>
          <w:color w:val="1F2937"/>
          <w:sz w:val="21"/>
          <w:szCs w:val="21"/>
        </w:rPr>
        <w:t xml:space="preserve">Ogólne przepisy bhp wymagają od pracodawcy zapewnienia sprawnie funkcjonującego systemu pierwszej pomocy w razie wypadku oraz środków do jej udzielania, w tym apteczek w poszczególnych wydziałach zakładu pracy. Ilość, usytuowanie i wyposażenie apteczek ustala się w porozumieniu z lekarzem sprawującym profilaktyczną opiekę zdrowotną nad pracownikami, z uwzględnieniem rodzajów i nasilenia występujących zagrożeń.</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Obsługa punktów pierwszej pomocy i apteczek na każdej zmianie należy do wyznaczonych pracowników, przeszkolonych w udzielaniu pierwszej pomocy.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W punktach pierwszej pomocy i przy apteczkach wywiesza się instrukcję udzielania pierwszej pomocy oraz wykaz osób wyznaczonych wraz z numerami telefonów do służb ratowniczych.</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Apteczka ma być dostępna, a nie zamknięta w szafie osoby, która akurat jest na urlopie.</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Sprawdź termin ważności zawartości apteczki. Materiały opatrunkowe też się starzeją, a apteczka z zawartością sprzed dekady jest atrapą.</w:t>
            </w:r>
          </w:p>
        </w:tc>
      </w:tr>
    </w:tbl>
    <w:p>
      <w:pPr>
        <w:spacing w:after="140"/>
      </w:pPr>
    </w:p>
    <w:p>
      <w:pPr>
        <w:spacing w:after="110" w:before="240"/>
      </w:pPr>
      <w:r>
        <w:rPr>
          <w:rFonts w:ascii="Calibri" w:cs="Calibri" w:eastAsia="Calibri" w:hAnsi="Calibri"/>
          <w:b/>
          <w:bCs/>
          <w:i w:val="false"/>
          <w:iCs w:val="false"/>
          <w:color w:val="0F172A"/>
          <w:sz w:val="23"/>
          <w:szCs w:val="23"/>
        </w:rPr>
        <w:t xml:space="preserve">4.8. Podstawy ochrony przeciwpożarowej w biurze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Znaj drogę ewakuacyjną ze swojego pokoju i drogę alternatywną, gdyby główna była odcięta.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Znaj lokalizację najbliższej gaśnicy i hydrantu wewnętrznego.</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Urządzeń elektrycznych pod napięciem nie gasi się wodą. Jeżeli da się to zrobić bezpiecznie, najpierw odłącz zasilanie.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Nie próbuj gasić pożaru, który wyszedł poza pierwszą fazę. Zamknij drzwi, ewakuuj się, wezwij straż pożarną.</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Po ogłoszeniu alarmu nie zabieraj rzeczy z szafy, nie wracaj po telefon, nie używaj windy.</w:t>
      </w:r>
    </w:p>
    <w:p>
      <w:pPr>
        <w:spacing w:after="130" w:line="300"/>
        <w:jc w:val="both"/>
      </w:pPr>
      <w:r>
        <w:rPr>
          <w:rFonts w:ascii="Calibri" w:cs="Calibri" w:eastAsia="Calibri" w:hAnsi="Calibri"/>
          <w:b w:val="false"/>
          <w:bCs w:val="false"/>
          <w:i w:val="false"/>
          <w:iCs w:val="false"/>
          <w:color w:val="1F2937"/>
          <w:sz w:val="21"/>
          <w:szCs w:val="21"/>
        </w:rPr>
        <w:t xml:space="preserve">Obowiązek zapewnienia środków do zwalczania pożarów i ewakuacji oraz wyznaczenia pracowników do tych działań wynika z art. 2091 Kodeksu pracy. Szczegółowe wymagania ochrony przeciwpożarowej budynków są w odrębnych przepisach.</w:t>
      </w:r>
    </w:p>
    <w:p>
      <w:pPr>
        <w:spacing w:after="110" w:before="240"/>
      </w:pPr>
      <w:r>
        <w:rPr>
          <w:rFonts w:ascii="Calibri" w:cs="Calibri" w:eastAsia="Calibri" w:hAnsi="Calibri"/>
          <w:b/>
          <w:bCs/>
          <w:i w:val="false"/>
          <w:iCs w:val="false"/>
          <w:color w:val="0F172A"/>
          <w:sz w:val="23"/>
          <w:szCs w:val="23"/>
        </w:rPr>
        <w:t xml:space="preserve">4.9. Zgłoszenie wypadku i dalszy przebieg</w:t>
      </w:r>
    </w:p>
    <w:p>
      <w:pPr>
        <w:spacing w:after="130" w:line="300"/>
        <w:jc w:val="both"/>
      </w:pPr>
      <w:r>
        <w:rPr>
          <w:rFonts w:ascii="Calibri" w:cs="Calibri" w:eastAsia="Calibri" w:hAnsi="Calibri"/>
          <w:b w:val="false"/>
          <w:bCs w:val="false"/>
          <w:i w:val="false"/>
          <w:iCs w:val="false"/>
          <w:color w:val="1F2937"/>
          <w:sz w:val="21"/>
          <w:szCs w:val="21"/>
        </w:rPr>
        <w:t xml:space="preserve">Po zgłoszeniu wypadku pracodawca powołuje zespół powypadkowy, który ustala okoliczności i przyczyny zdarzenia. Z ustaleń sporządza się protokół powypadkowy. Poszkodowany ma prawo zgłosić uwagi i zastrzeżenia do ustaleń zawartych w protokole oraz wglądu do akt sprawy.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Zgłoś zdarzenie od razu, także wtedy, gdy uraz wygląda na drobny. Późniejsze zgłoszenie utrudnia ustalenie okoliczności i bywa powodem sporu z organem rentowym.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Zapisz świadków. W biurze zdarzenia często nie mają świadków, a wtedy rozstrzygają szczegóły: godzina, miejsce, co dokładnie się stało.</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Zachowaj dokumentację medyczną z pierwszej wizyty. To ona wiąże uraz z konkretnym dniem.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Uwagi do protokołu składaj na piśmie, w terminie wskazanym przez zespół powypadkowy.</w:t>
      </w:r>
    </w:p>
    <w:p>
      <w:pPr>
        <w:spacing w:after="130" w:line="300"/>
        <w:jc w:val="both"/>
      </w:pPr>
      <w:r>
        <w:rPr>
          <w:rFonts w:ascii="Calibri" w:cs="Calibri" w:eastAsia="Calibri" w:hAnsi="Calibri"/>
          <w:b w:val="false"/>
          <w:bCs w:val="false"/>
          <w:i w:val="false"/>
          <w:iCs w:val="false"/>
          <w:color w:val="1F2937"/>
          <w:sz w:val="21"/>
          <w:szCs w:val="21"/>
        </w:rPr>
        <w:t xml:space="preserve">Pracodawca prowadzi rejestr wypadków przy pracy i przechowuje dokumentację powypadkową. Ma też obowiązek zastosować środki zapobiegające podobnym wypadkom, co jest właściwym celem całego postępowania.</w:t>
      </w:r>
    </w:p>
    <w:p>
      <w:pPr>
        <w:spacing w:after="110" w:before="240"/>
      </w:pPr>
      <w:r>
        <w:rPr>
          <w:rFonts w:ascii="Calibri" w:cs="Calibri" w:eastAsia="Calibri" w:hAnsi="Calibri"/>
          <w:b/>
          <w:bCs/>
          <w:i w:val="false"/>
          <w:iCs w:val="false"/>
          <w:color w:val="0F172A"/>
          <w:sz w:val="23"/>
          <w:szCs w:val="23"/>
        </w:rPr>
        <w:t xml:space="preserve">4.10. Zdarzenia potencjalnie wypadkowe</w:t>
      </w:r>
    </w:p>
    <w:p>
      <w:pPr>
        <w:spacing w:after="130" w:line="300"/>
        <w:jc w:val="both"/>
      </w:pPr>
      <w:r>
        <w:rPr>
          <w:rFonts w:ascii="Calibri" w:cs="Calibri" w:eastAsia="Calibri" w:hAnsi="Calibri"/>
          <w:b w:val="false"/>
          <w:bCs w:val="false"/>
          <w:i w:val="false"/>
          <w:iCs w:val="false"/>
          <w:color w:val="1F2937"/>
          <w:sz w:val="21"/>
          <w:szCs w:val="21"/>
        </w:rPr>
        <w:t xml:space="preserve">Zdarzenie potencjalnie wypadkowe to sytuacja, w której nikt nie ucierpiał, ale mogło się to skończyć wypadkiem: obluzowana poręcz, kabel w poprzek przejścia, spadający segregator z górnej półki, mokra podłoga bez oznakowania. Przepisy nie nakazują ich rejestrowania, ale w każdej firmie, która serio traktuje bhp, prowadzi się taki rejestr.</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Zgłoszenie zajmuje minutę i nie wymaga formularza: wystarczy opis i miejsce.</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Reakcja na zgłoszenie jest tania, bo nie ma poszkodowanego ani postępowania.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Zgłaszanie ma sens tylko wtedy, gdy widać skutek. Jeżeli po dziesięciu zgłoszeniach nic się nie zmienia, ludzie przestają zgłaszać i to jest wina organizacji, nie ludzi.</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Najprostsza rzecz, jaką możesz zrobić po tym szkoleniu: rozejrzyj się po swoim stanowisku i po drodze do wyjścia. Jeżeli widzisz coś, o co można się potknąć, uderzyć albo co może spaść, usuń to albo zgłoś. To jest cała profilaktyka w biurze.</w:t>
            </w:r>
          </w:p>
        </w:tc>
      </w:tr>
    </w:tbl>
    <w:p>
      <w:pPr>
        <w:spacing w:after="140"/>
      </w:pPr>
    </w:p>
    <w:p>
      <w:pPr>
        <w:spacing w:after="60" w:before="150"/>
      </w:pPr>
      <w:r>
        <w:rPr>
          <w:rFonts w:ascii="Calibri" w:cs="Calibri" w:eastAsia="Calibri" w:hAnsi="Calibri"/>
          <w:b/>
          <w:bCs/>
          <w:i w:val="false"/>
          <w:iCs w:val="false"/>
          <w:color w:val="1F2937"/>
          <w:sz w:val="20"/>
          <w:szCs w:val="20"/>
        </w:rPr>
        <w:t xml:space="preserve">Pytanie kontrolne: Od czego zaczyna się każda pierwsza pomoc?</w:t>
      </w:r>
    </w:p>
    <w:p>
      <w:pPr>
        <w:spacing w:after="120" w:line="290"/>
        <w:jc w:val="both"/>
      </w:pPr>
      <w:r>
        <w:rPr>
          <w:rFonts w:ascii="Calibri" w:cs="Calibri" w:eastAsia="Calibri" w:hAnsi="Calibri"/>
          <w:b w:val="false"/>
          <w:bCs w:val="false"/>
          <w:i/>
          <w:iCs/>
          <w:color w:val="595959"/>
          <w:sz w:val="20"/>
          <w:szCs w:val="20"/>
        </w:rPr>
        <w:t xml:space="preserve">Odpowiedź: Od oceny bezpieczeństwa miejsca zdarzenia, czyli od własnego bezpieczeństwa ratownika.</w:t>
      </w:r>
    </w:p>
    <w:p>
      <w:pPr>
        <w:spacing w:after="60" w:before="150"/>
      </w:pPr>
      <w:r>
        <w:rPr>
          <w:rFonts w:ascii="Calibri" w:cs="Calibri" w:eastAsia="Calibri" w:hAnsi="Calibri"/>
          <w:b/>
          <w:bCs/>
          <w:i w:val="false"/>
          <w:iCs w:val="false"/>
          <w:color w:val="1F2937"/>
          <w:sz w:val="20"/>
          <w:szCs w:val="20"/>
        </w:rPr>
        <w:t xml:space="preserve">Pytanie kontrolne: Ile uciśnięć klatki piersiowej przypada na dwa oddechy ratownicze u osoby dorosłej?</w:t>
      </w:r>
    </w:p>
    <w:p>
      <w:pPr>
        <w:spacing w:after="120" w:line="290"/>
        <w:jc w:val="both"/>
      </w:pPr>
      <w:r>
        <w:rPr>
          <w:rFonts w:ascii="Calibri" w:cs="Calibri" w:eastAsia="Calibri" w:hAnsi="Calibri"/>
          <w:b w:val="false"/>
          <w:bCs w:val="false"/>
          <w:i/>
          <w:iCs/>
          <w:color w:val="595959"/>
          <w:sz w:val="20"/>
          <w:szCs w:val="20"/>
        </w:rPr>
        <w:t xml:space="preserve">Odpowiedź: Trzydzieści uciśnięć na dwa oddechy.</w:t>
      </w:r>
    </w:p>
    <w:p>
      <w:pPr>
        <w:spacing w:after="60" w:before="150"/>
      </w:pPr>
      <w:r>
        <w:rPr>
          <w:rFonts w:ascii="Calibri" w:cs="Calibri" w:eastAsia="Calibri" w:hAnsi="Calibri"/>
          <w:b/>
          <w:bCs/>
          <w:i w:val="false"/>
          <w:iCs w:val="false"/>
          <w:color w:val="1F2937"/>
          <w:sz w:val="20"/>
          <w:szCs w:val="20"/>
        </w:rPr>
        <w:t xml:space="preserve">Pytanie kontrolne: Co zrobić najpierw przy porażeniu prądem?</w:t>
      </w:r>
    </w:p>
    <w:p>
      <w:pPr>
        <w:spacing w:after="120" w:line="290"/>
        <w:jc w:val="both"/>
      </w:pPr>
      <w:r>
        <w:rPr>
          <w:rFonts w:ascii="Calibri" w:cs="Calibri" w:eastAsia="Calibri" w:hAnsi="Calibri"/>
          <w:b w:val="false"/>
          <w:bCs w:val="false"/>
          <w:i/>
          <w:iCs/>
          <w:color w:val="595959"/>
          <w:sz w:val="20"/>
          <w:szCs w:val="20"/>
        </w:rPr>
        <w:t xml:space="preserve">Odpowiedź: Odłączyć zasilanie. Dotknięcie poszkodowanego pozostającego pod napięciem naraża ratownika.</w:t>
      </w:r>
    </w:p>
    <w:p>
      <w:pPr>
        <w:spacing w:after="60" w:before="150"/>
      </w:pPr>
      <w:r>
        <w:rPr>
          <w:rFonts w:ascii="Calibri" w:cs="Calibri" w:eastAsia="Calibri" w:hAnsi="Calibri"/>
          <w:b/>
          <w:bCs/>
          <w:i w:val="false"/>
          <w:iCs w:val="false"/>
          <w:color w:val="1F2937"/>
          <w:sz w:val="20"/>
          <w:szCs w:val="20"/>
        </w:rPr>
        <w:t xml:space="preserve">Pytanie kontrolne: Które trzy obowiązki nakłada na pracodawcę art. 2091 KP?</w:t>
      </w:r>
    </w:p>
    <w:p>
      <w:pPr>
        <w:spacing w:after="120" w:line="290"/>
        <w:jc w:val="both"/>
      </w:pPr>
      <w:r>
        <w:rPr>
          <w:rFonts w:ascii="Calibri" w:cs="Calibri" w:eastAsia="Calibri" w:hAnsi="Calibri"/>
          <w:b w:val="false"/>
          <w:bCs w:val="false"/>
          <w:i/>
          <w:iCs/>
          <w:color w:val="595959"/>
          <w:sz w:val="20"/>
          <w:szCs w:val="20"/>
        </w:rPr>
        <w:t xml:space="preserve">Odpowiedź: Zapewnienie środków do pierwszej pomocy, zwalczania pożarów i ewakuacji; wyznaczenie pracowników do tych działań; zapewnienie łączności ze służbami zewnętrznymi.</w:t>
      </w:r>
    </w:p>
    <w:p>
      <w:pPr>
        <w:spacing w:after="180" w:before="320"/>
      </w:pPr>
      <w:r>
        <w:rPr>
          <w:rFonts w:ascii="Calibri" w:cs="Calibri" w:eastAsia="Calibri" w:hAnsi="Calibri"/>
          <w:b/>
          <w:bCs/>
          <w:i w:val="false"/>
          <w:iCs w:val="false"/>
          <w:color w:val="0F172A"/>
          <w:sz w:val="28"/>
          <w:szCs w:val="28"/>
        </w:rPr>
        <w:t xml:space="preserve">Wykaz przepisów i słowniczek</w:t>
      </w:r>
    </w:p>
    <w:p>
      <w:pPr>
        <w:spacing w:after="110" w:before="240"/>
      </w:pPr>
      <w:r>
        <w:rPr>
          <w:rFonts w:ascii="Calibri" w:cs="Calibri" w:eastAsia="Calibri" w:hAnsi="Calibri"/>
          <w:b/>
          <w:bCs/>
          <w:i w:val="false"/>
          <w:iCs w:val="false"/>
          <w:color w:val="0F172A"/>
          <w:sz w:val="23"/>
          <w:szCs w:val="23"/>
        </w:rPr>
        <w:t xml:space="preserve">Przepisy powołane w materiałach</w:t>
      </w:r>
    </w:p>
    <w:p>
      <w:pPr>
        <w:spacing w:after="130" w:line="300"/>
        <w:jc w:val="both"/>
      </w:pPr>
      <w:r>
        <w:rPr>
          <w:rFonts w:ascii="Calibri" w:cs="Calibri" w:eastAsia="Calibri" w:hAnsi="Calibri"/>
          <w:b w:val="false"/>
          <w:bCs w:val="false"/>
          <w:i w:val="false"/>
          <w:iCs w:val="false"/>
          <w:color w:val="1F2937"/>
          <w:sz w:val="21"/>
          <w:szCs w:val="21"/>
        </w:rPr>
        <w:t xml:space="preserve">Rozporządzenie wymaga, żeby uczestnik samokształcenia kierowanego otrzymał materiały umożliwiające przyswojenie wiadomości objętych programem, w tym przepisy. Poniżej wykaz aktów, na których opiera się ten skrypt, wraz ze stanem na dzień jego przygotowania.</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tblHeader/>
        </w:trPr>
        <w:tc>
          <w:tcPr>
            <w:tcW w:type="pct" w:w="3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Akt</w:t>
            </w:r>
          </w:p>
        </w:tc>
        <w:tc>
          <w:tcPr>
            <w:tcW w:type="pct" w:w="22%"/>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Oznaczenie</w:t>
            </w:r>
          </w:p>
        </w:tc>
        <w:tc>
          <w:tcPr>
            <w:tcW w:type="pct" w:w="4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Czego dotyczy w tym szkoleniu</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Ustawa z 26 czerwca 1974 r. Kodeks pracy</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t.j. Dz. U. z 2025 r. poz. 277, ze zm.</w:t>
            </w:r>
          </w:p>
        </w:tc>
        <w:tc>
          <w:tcPr>
            <w:tcW w:type="pct" w:w="4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Art. 207, 209 z indeksem 1, 210, 211, 212, 226, 229, 234, 237 z indeksem 3 do 5, 237 z indeksem 11, 283, a przy pracy zdalnej art. 67 z indeksem 31</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Rozporządzenie Ministra Gospodarki i Pracy z 27 lipca 2004 r. w sprawie szkolenia w dziedzinie bhp</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t.j. Dz. U. z 2024 r. poz. 1327, ze zm.</w:t>
            </w:r>
          </w:p>
        </w:tc>
        <w:tc>
          <w:tcPr>
            <w:tcW w:type="pct" w:w="4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Rodzaje i formy szkoleń, częstotliwość, dokumentacja, ramowy program dla stanowisk administracyjno-biurowych (część VIII załącznika nr 1)</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Rozporządzenie zmieniające z 24 listopada 2025 r.</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Dz. U. z 2025 r. poz. 1640</w:t>
            </w:r>
          </w:p>
        </w:tc>
        <w:tc>
          <w:tcPr>
            <w:tcW w:type="pct" w:w="4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Potwierdzenie odbycia instruktażu w postaci elektronicznej, obowiązuje od 12 grudnia 2025 r.</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Ustawa z 4 grudnia 2025 r. o zmianie Kodeksu pracy</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Dz. U. z 2026 r. poz. 25</w:t>
            </w:r>
          </w:p>
        </w:tc>
        <w:tc>
          <w:tcPr>
            <w:tcW w:type="pct" w:w="4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Potwierdzenie zapoznania z przepisami bhp w postaci papierowej lub elektronicznej, obowiązuje od 27 stycznia 2026 r.</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Ustawa ogłoszona w Dz. U. z 2026 r. poz. 473</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Dz. U. z 2026 r. poz. 473</w:t>
            </w:r>
          </w:p>
        </w:tc>
        <w:tc>
          <w:tcPr>
            <w:tcW w:type="pct" w:w="4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Podniesienie grzywien z art. 281, 282 i 283 Kodeksu pracy od 8 lipca 2026 r.</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Rozporządzenie Ministra Pracy i Polityki Socjalnej z 26 września 1997 r. w sprawie ogólnych przepisów bhp</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t.j. Dz. U. z 2003 r. nr 169 poz. 1650, ze zm.</w:t>
            </w:r>
          </w:p>
        </w:tc>
        <w:tc>
          <w:tcPr>
            <w:tcW w:type="pct" w:w="4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Pomieszczenia pracy, oświetlenie, temperatura, pierwsza pomoc i apteczki, prace szczególnie niebezpieczne</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Rozporządzenie Ministra Pracy i Polityki Socjalnej z 1 grudnia 1998 r. w sprawie bhp na stanowiskach wyposażonych w monitory ekranowe</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t.j. Dz. U. z 2025 r. poz. 58</w:t>
            </w:r>
          </w:p>
        </w:tc>
        <w:tc>
          <w:tcPr>
            <w:tcW w:type="pct" w:w="4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Definicja stanowiska i pracownika, ocena warunków pracy, przerwy, okulary lub szkła kontaktowe, minimalne wymagania z załącznika</w:t>
            </w:r>
          </w:p>
        </w:tc>
      </w:tr>
      <w:tr>
        <w:tc>
          <w:tcPr>
            <w:tcW w:type="pct" w:w="3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Rozporządzenie Ministra Pracy i Polityki Społecznej z 14 marca 2000 r. w sprawie bhp przy ręcznych pracach transportowych</w:t>
            </w:r>
          </w:p>
        </w:tc>
        <w:tc>
          <w:tcPr>
            <w:tcW w:type="pct" w:w="22%"/>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t.j. Dz. U. z 2018 r. poz. 1139</w:t>
            </w:r>
          </w:p>
        </w:tc>
        <w:tc>
          <w:tcPr>
            <w:tcW w:type="pct" w:w="4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Dopuszczalne masy przedmiotów podnoszonych i przenoszonych</w:t>
            </w:r>
          </w:p>
        </w:tc>
      </w:tr>
      <w:tr>
        <w:tc>
          <w:tcPr>
            <w:tcW w:type="pct" w:w="3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Rozporządzenie Ministra Rodziny, Pracy i Polityki Społecznej z 21 października 2025 r. w sprawie klasyfikacji zawodów i specjalności</w:t>
            </w:r>
          </w:p>
        </w:tc>
        <w:tc>
          <w:tcPr>
            <w:tcW w:type="pct" w:w="22%"/>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Dz. U. z 2025 r. poz. 1534</w:t>
            </w:r>
          </w:p>
        </w:tc>
        <w:tc>
          <w:tcPr>
            <w:tcW w:type="pct" w:w="4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Kody zawodów dla stanowisk administracyjno-biurowych</w:t>
            </w:r>
          </w:p>
        </w:tc>
      </w:tr>
    </w:tbl>
    <w:p>
      <w:pPr>
        <w:spacing w:after="160"/>
      </w:pP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Trzech ostatnich zmian nie ma w tekstach jednolitych aktów, które zmieniają. Materiały szkoleniowe starsze niż grudzień 2025 r. podają w tych miejscach stan nieaktualny, nawet jeżeli powołują poprawne teksty jednolite.</w:t>
            </w:r>
          </w:p>
        </w:tc>
      </w:tr>
    </w:tbl>
    <w:p>
      <w:pPr>
        <w:spacing w:after="140"/>
      </w:pPr>
    </w:p>
    <w:p>
      <w:pPr>
        <w:spacing w:after="110" w:before="240"/>
      </w:pPr>
      <w:r>
        <w:rPr>
          <w:rFonts w:ascii="Calibri" w:cs="Calibri" w:eastAsia="Calibri" w:hAnsi="Calibri"/>
          <w:b/>
          <w:bCs/>
          <w:i w:val="false"/>
          <w:iCs w:val="false"/>
          <w:color w:val="0F172A"/>
          <w:sz w:val="23"/>
          <w:szCs w:val="23"/>
        </w:rPr>
        <w:t xml:space="preserve">Słowniczek</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tblGrid>
      <w:tr>
        <w:trPr>
          <w:tblHeader/>
        </w:trPr>
        <w:tc>
          <w:tcPr>
            <w:tcW w:type="pct" w:w="26%"/>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Pojęcie</w:t>
            </w:r>
          </w:p>
        </w:tc>
        <w:tc>
          <w:tcPr>
            <w:tcW w:type="pct" w:w="74%"/>
            <w:shd w:fill="0F172A"/>
            <w:tcMar>
              <w:top w:type="dxa" w:w="80"/>
              <w:left w:type="dxa" w:w="110"/>
              <w:bottom w:type="dxa" w:w="80"/>
              <w:right w:type="dxa" w:w="110"/>
            </w:tcMar>
          </w:tcPr>
          <w:p>
            <w:pPr>
              <w:spacing w:line="280"/>
            </w:pPr>
            <w:r>
              <w:rPr>
                <w:rFonts w:ascii="Calibri" w:cs="Calibri" w:eastAsia="Calibri" w:hAnsi="Calibri"/>
                <w:b/>
                <w:bCs/>
                <w:i w:val="false"/>
                <w:iCs w:val="false"/>
                <w:color w:val="FFFFFF"/>
                <w:sz w:val="19"/>
                <w:szCs w:val="19"/>
              </w:rPr>
              <w:t xml:space="preserve">Znaczenie</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Instruktaż</w:t>
            </w:r>
          </w:p>
        </w:tc>
        <w:tc>
          <w:tcPr>
            <w:tcW w:type="pct" w:w="7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Forma szkolenia trwająca nie krócej niż 2 godziny lekcyjne, umożliwiająca uzyskanie, aktualizowanie lub uzupełnianie wiedzy i umiejętności dotyczących wykonywania pracy i zachowania się w zakładzie pracy zgodnie z przepisami i zasadami bhp.</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Kurs</w:t>
            </w:r>
          </w:p>
        </w:tc>
        <w:tc>
          <w:tcPr>
            <w:tcW w:type="pct" w:w="7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Forma szkolenia trwająca nie krócej niż 15 godzin lekcyjnych, składająca się z zajęć teoretycznych i praktycznych.</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Seminarium</w:t>
            </w:r>
          </w:p>
        </w:tc>
        <w:tc>
          <w:tcPr>
            <w:tcW w:type="pct" w:w="7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Forma szkolenia trwająca nie krócej niż 5 godzin lekcyjnych.</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Samokształcenie kierowane</w:t>
            </w:r>
          </w:p>
        </w:tc>
        <w:tc>
          <w:tcPr>
            <w:tcW w:type="pct" w:w="7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Forma szkolenia na podstawie materiałów przekazanych przez organizatora, w szczególności przy zastosowaniu poczty albo internetu, przy jednoczesnym zapewnieniu konsultacji z osobami spełniającymi wymagania dla wykładowców.</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Godzina lekcyjna</w:t>
            </w:r>
          </w:p>
        </w:tc>
        <w:tc>
          <w:tcPr>
            <w:tcW w:type="pct" w:w="7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45 minut.</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Stanowisko administracyjno-biurowe</w:t>
            </w:r>
          </w:p>
        </w:tc>
        <w:tc>
          <w:tcPr>
            <w:tcW w:type="pct" w:w="7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Piąta grupa stanowisk z § 14 ust. 2 rozporządzenia szkoleniowego. O przypisaniu decyduje faktyczny charakter pracy, a nie nazwa stanowiska w umowie.</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Ryzyko zawodowe</w:t>
            </w:r>
          </w:p>
        </w:tc>
        <w:tc>
          <w:tcPr>
            <w:tcW w:type="pct" w:w="7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Prawdopodobieństwo wystąpienia niepożądanych zdarzeń związanych z wykonywaną pracą, powodujących straty, oraz ich skutki zdrowotne.</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Wypadek przy pracy</w:t>
            </w:r>
          </w:p>
        </w:tc>
        <w:tc>
          <w:tcPr>
            <w:tcW w:type="pct" w:w="7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Zdarzenie nagłe, wywołane przyczyną zewnętrzną, powodujące uraz albo śmierć, które nastąpiło w związku z pracą. Wszystkie cztery przesłanki muszą wystąpić naraz.</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Zdarzenie potencjalnie wypadkowe</w:t>
            </w:r>
          </w:p>
        </w:tc>
        <w:tc>
          <w:tcPr>
            <w:tcW w:type="pct" w:w="7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Sytuacja, w której nikt nie ucierpiał, ale mogło dojść do wypadku.</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Pomieszczenie stałej pracy</w:t>
            </w:r>
          </w:p>
        </w:tc>
        <w:tc>
          <w:tcPr>
            <w:tcW w:type="pct" w:w="7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Pomieszczenie, w którym łączny czas przebywania tego samego pracownika w ciągu doby przekracza 4 godziny.</w:t>
            </w:r>
          </w:p>
        </w:tc>
      </w:tr>
      <w:tr>
        <w:tc>
          <w:tcPr>
            <w:tcW w:type="pct" w:w="26%"/>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Kategoria ryzyka</w:t>
            </w:r>
          </w:p>
        </w:tc>
        <w:tc>
          <w:tcPr>
            <w:tcW w:type="pct" w:w="74%"/>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Wskaźnik przypisany grupie działalności w przepisach o składce wypadkowej. Kategoria nie wyższa niż trzecia otwiera drogę do zwolnienia stanowisk administracyjno-biurowych ze szkoleń okresowych i pozwala pracodawcy samodzielnie wykonywać zadania służby bhp przy zatrudnieniu do 50 pracowników.</w:t>
            </w:r>
          </w:p>
        </w:tc>
      </w:tr>
      <w:tr>
        <w:tc>
          <w:tcPr>
            <w:tcW w:type="pct" w:w="26%"/>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Praca dorywcza</w:t>
            </w:r>
          </w:p>
        </w:tc>
        <w:tc>
          <w:tcPr>
            <w:tcW w:type="pct" w:w="74%"/>
            <w:shd w:fill="F4F6FA"/>
            <w:tcMar>
              <w:top w:type="dxa" w:w="80"/>
              <w:left w:type="dxa" w:w="110"/>
              <w:bottom w:type="dxa" w:w="80"/>
              <w:right w:type="dxa" w:w="110"/>
            </w:tcMar>
          </w:tcPr>
          <w:p>
            <w:pPr>
              <w:spacing w:line="280"/>
            </w:pPr>
            <w:r>
              <w:rPr>
                <w:rFonts w:ascii="Calibri" w:cs="Calibri" w:eastAsia="Calibri" w:hAnsi="Calibri"/>
                <w:b w:val="false"/>
                <w:bCs w:val="false"/>
                <w:i w:val="false"/>
                <w:iCs w:val="false"/>
                <w:color w:val="1F2937"/>
                <w:sz w:val="19"/>
                <w:szCs w:val="19"/>
              </w:rPr>
              <w:t xml:space="preserve">W przepisach o ręcznych pracach transportowych: praca wykonywana rzadko i krótkotrwale, dla której limity mas są wyższe niż przy pracy stałej.</w:t>
            </w:r>
          </w:p>
        </w:tc>
      </w:tr>
    </w:tbl>
    <w:p>
      <w:pPr>
        <w:spacing w:after="160"/>
      </w:pPr>
    </w:p>
    <w:p>
      <w:pPr>
        <w:spacing w:after="180" w:before="0"/>
      </w:pPr>
      <w:r>
        <w:br w:type="page"/>
      </w:r>
      <w:r>
        <w:rPr>
          <w:rFonts w:ascii="Calibri" w:cs="Calibri" w:eastAsia="Calibri" w:hAnsi="Calibri"/>
          <w:b/>
          <w:bCs/>
          <w:i w:val="false"/>
          <w:iCs w:val="false"/>
          <w:color w:val="0F172A"/>
          <w:sz w:val="28"/>
          <w:szCs w:val="28"/>
        </w:rPr>
        <w:t xml:space="preserve">Podsumowanie i co dalej</w:t>
      </w:r>
    </w:p>
    <w:p>
      <w:pPr>
        <w:spacing w:after="110" w:before="240"/>
      </w:pPr>
      <w:r>
        <w:rPr>
          <w:rFonts w:ascii="Calibri" w:cs="Calibri" w:eastAsia="Calibri" w:hAnsi="Calibri"/>
          <w:b/>
          <w:bCs/>
          <w:i w:val="false"/>
          <w:iCs w:val="false"/>
          <w:color w:val="0F172A"/>
          <w:sz w:val="23"/>
          <w:szCs w:val="23"/>
        </w:rPr>
        <w:t xml:space="preserve">Dziesięć rzeczy do zapamiętania</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Za stan bhp odpowiada pracodawca i nie przenosi tej odpowiedzialności zlecenie obsługi firmie zewnętrznej.</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Udział w szkoleniu i poddanie się egzaminowi to obowiązek pracownika, a nie jego wybór.</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Przy bezpośrednim zagrożeniu wolno powstrzymać się od pracy i oddalić z miejsca zagrożenia, zawiadamiając przełożonego, bez ryzyka konsekwencji.</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Grzywna za nieprzestrzeganie przepisów i zasad bhp wynosi od 2000 do 60 000 zł.</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Monitor ekranowy podlega przepisom, gdy pracuje się przy nim co najmniej przez połowę dobowego wymiaru czasu pracy.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Do wyboru: pięć minut przerwy po każdej godzinie pracy przy monitorze albo przemienność zadań bez przekraczania godziny pracy ciągłej.</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Pracodawca zapewnia okulary lub szkła kontaktowe, jeżeli zaleci je lekarz w badaniu profilaktycznym.</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Praca zdalna odbiera zwolnienie ze szkoleń okresowych dla stanowisk administracyjno-biurowych.</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Każdy wypadek zgłasza się przełożonemu niezwłocznie, także ten, który wygląda na drobny.</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Pierwsza pomoc zaczyna się od bezpieczeństwa ratownika, a numer 112 prowadzi krok po kroku.</w:t>
      </w:r>
    </w:p>
    <w:p>
      <w:pPr>
        <w:spacing w:after="110" w:before="240"/>
      </w:pPr>
      <w:r>
        <w:rPr>
          <w:rFonts w:ascii="Calibri" w:cs="Calibri" w:eastAsia="Calibri" w:hAnsi="Calibri"/>
          <w:b/>
          <w:bCs/>
          <w:i w:val="false"/>
          <w:iCs w:val="false"/>
          <w:color w:val="0F172A"/>
          <w:sz w:val="23"/>
          <w:szCs w:val="23"/>
        </w:rPr>
        <w:t xml:space="preserve">Co się zmieniło ostatnio</w:t>
      </w:r>
    </w:p>
    <w:p>
      <w:pPr>
        <w:spacing w:after="130" w:line="300"/>
        <w:jc w:val="both"/>
      </w:pPr>
      <w:r>
        <w:rPr>
          <w:rFonts w:ascii="Calibri" w:cs="Calibri" w:eastAsia="Calibri" w:hAnsi="Calibri"/>
          <w:b w:val="false"/>
          <w:bCs w:val="false"/>
          <w:i w:val="false"/>
          <w:iCs w:val="false"/>
          <w:color w:val="1F2937"/>
          <w:sz w:val="21"/>
          <w:szCs w:val="21"/>
        </w:rPr>
        <w:t xml:space="preserve">Trzy zmiany, których nie ma w tekstach jednolitych, a które obowiązują:</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od 12 grudnia 2025 r. odbycie instruktażu potwierdza się w postaci papierowej albo elektronicznej, a karta szkolenia wstępnego wraz z dołączonymi dokumentami jest przechowywana w aktach osobowych,</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od 27 stycznia 2026 r. zapoznanie się z przepisami i zasadami bhp pracownik potwierdza w postaci papierowej lub elektronicznej,</w:t>
      </w:r>
    </w:p>
    <w:p>
      <w:pPr>
        <w:pStyle w:val="ListParagraph"/>
        <w:numPr>
          <w:ilvl w:val="0"/>
          <w:numId w:val="1"/>
        </w:numPr>
        <w:spacing w:after="90" w:line="290"/>
        <w:jc w:val="both"/>
      </w:pPr>
      <w:r>
        <w:rPr>
          <w:rFonts w:ascii="Calibri" w:cs="Calibri" w:eastAsia="Calibri" w:hAnsi="Calibri"/>
          <w:b w:val="false"/>
          <w:bCs w:val="false"/>
          <w:i w:val="false"/>
          <w:iCs w:val="false"/>
          <w:color w:val="1F2937"/>
          <w:sz w:val="21"/>
          <w:szCs w:val="21"/>
        </w:rPr>
        <w:t xml:space="preserve">od 8 lipca 2026 r. grzywna z art. 283 § 1 KP wynosi od 2000 do 60 000 zł.</w:t>
      </w:r>
    </w:p>
    <w:p>
      <w:pPr>
        <w:spacing w:after="110" w:before="240"/>
      </w:pPr>
      <w:r>
        <w:rPr>
          <w:rFonts w:ascii="Calibri" w:cs="Calibri" w:eastAsia="Calibri" w:hAnsi="Calibri"/>
          <w:b/>
          <w:bCs/>
          <w:i w:val="false"/>
          <w:iCs w:val="false"/>
          <w:color w:val="0F172A"/>
          <w:sz w:val="23"/>
          <w:szCs w:val="23"/>
        </w:rPr>
        <w:t xml:space="preserve">Jak zakończyć szkolenie</w:t>
      </w:r>
    </w:p>
    <w:p>
      <w:pPr>
        <w:spacing w:after="130" w:line="300"/>
        <w:jc w:val="both"/>
      </w:pPr>
      <w:r>
        <w:rPr>
          <w:rFonts w:ascii="Calibri" w:cs="Calibri" w:eastAsia="Calibri" w:hAnsi="Calibri"/>
          <w:b w:val="false"/>
          <w:bCs w:val="false"/>
          <w:i w:val="false"/>
          <w:iCs w:val="false"/>
          <w:color w:val="1F2937"/>
          <w:sz w:val="21"/>
          <w:szCs w:val="21"/>
        </w:rPr>
        <w:t xml:space="preserve">Po przerobieniu wszystkich czterech modułów i pytań kontrolnych zgłoś się na egzamin w terminie podanym w harmonogramie. Egzamin sprawdza przyswojenie wiedzy objętej programem oraz umiejętność wykonywania lub organizowania pracy zgodnie z przepisami i zasadami bhp. Przeprowadza go komisja powołana przez organizatora szkolenia, a potwierdzeniem ukończenia z wynikiem pozytywnym jest zaświadczenie, którego odpis trafia do akt osobowych.</w:t>
      </w:r>
    </w:p>
    <w:tbl>
      <w:tblPr>
        <w:tblW w:type="pct" w:w="100%"/>
        <w:tblBorders>
          <w:top w:val="single" w:color="F1C48A" w:sz="4"/>
          <w:left w:val="single" w:color="F59E0B" w:sz="18"/>
          <w:bottom w:val="single" w:color="F1C48A" w:sz="4"/>
          <w:right w:val="single" w:color="F1C48A" w:sz="4"/>
          <w:insideH w:val="none"/>
          <w:insideV w:val="none"/>
        </w:tblBorders>
      </w:tblPr>
      <w:tblGrid>
        <w:gridCol w:w="100"/>
      </w:tblGrid>
      <w:tr>
        <w:tc>
          <w:tcPr>
            <w:shd w:fill="FFF7E6"/>
            <w:tcMar>
              <w:top w:type="dxa" w:w="120"/>
              <w:left w:type="dxa" w:w="160"/>
              <w:bottom w:type="dxa" w:w="120"/>
              <w:right w:type="dxa" w:w="140"/>
            </w:tcMar>
          </w:tcPr>
          <w:p>
            <w:pPr>
              <w:spacing w:line="290"/>
              <w:jc w:val="both"/>
            </w:pPr>
            <w:r>
              <w:rPr>
                <w:rFonts w:ascii="Calibri" w:cs="Calibri" w:eastAsia="Calibri" w:hAnsi="Calibri"/>
                <w:b w:val="false"/>
                <w:bCs w:val="false"/>
                <w:i w:val="false"/>
                <w:iCs w:val="false"/>
                <w:color w:val="1F2937"/>
                <w:sz w:val="20"/>
                <w:szCs w:val="20"/>
              </w:rPr>
              <w:t xml:space="preserve">Jeżeli któryś fragment materiałów jest niejasny, to jest dokładnie ten moment, w którym warto skorzystać z konsultacji. Po to są przewidziane w przepisie i po to stoją w harmonogramie.</w:t>
            </w:r>
          </w:p>
        </w:tc>
      </w:tr>
    </w:tbl>
    <w:p>
      <w:pPr>
        <w:spacing w:after="140"/>
      </w:pPr>
    </w:p>
    <w:sectPr>
      <w:headerReference w:type="default" r:id="rId7"/>
      <w:footerReference w:type="default" r:id="rId8"/>
      <w:pgSz w:w="11906" w:h="16838" w:orient="portrait"/>
      <w:pgMar w:top="1100" w:right="1100" w:bottom="1000" w:left="11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5"/>
        <w:szCs w:val="15"/>
      </w:rPr>
      <w:t xml:space="preserve">NEW PROJECT Andrzej Brzeziński  |  https://newproject360.pl/szkolenia-bhp-ab/  |  wersja pakietu 1.0, stan prawny na dzień 22 sierpnia 2026 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595959"/>
        <w:sz w:val="15"/>
        <w:szCs w:val="15"/>
      </w:rPr>
      <w:t xml:space="preserve">Szkolenie okresowe bhp, stanowiska administracyjno-biurowe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Materialy Szkoleniowe</dc:title>
  <dc:creator>NEW PROJECT Andrzej Brzeziński</dc:creator>
  <dc:description>Pakiet do samokształcenia kierowanego, stanowiska administracyjno-biurowe. Stan prawny w stopce dokumentu.</dc:description>
  <cp:lastModifiedBy>Un-named</cp:lastModifiedBy>
  <cp:revision>1</cp:revision>
  <dcterms:created xsi:type="dcterms:W3CDTF">2026-08-22T20:00:39.231Z</dcterms:created>
  <dcterms:modified xsi:type="dcterms:W3CDTF">2026-08-22T20:00:39.231Z</dcterms:modified>
</cp:coreProperties>
</file>

<file path=docProps/custom.xml><?xml version="1.0" encoding="utf-8"?>
<Properties xmlns="http://schemas.openxmlformats.org/officeDocument/2006/custom-properties" xmlns:vt="http://schemas.openxmlformats.org/officeDocument/2006/docPropsVTypes"/>
</file>