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8"/>
          <w:szCs w:val="28"/>
        </w:rPr>
        <w:t xml:space="preserve">TEST SPRAWDZAJĄCY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Szkolenie okresowe bhp, stanowiska administracyjno-biurowe. Test jednokrotnego wyboru, dwanaście pytań. Zaliczenie: co najmniej dziewięć poprawnych odpowiedzi.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80" w:before="200" w:line="29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0"/>
          <w:szCs w:val="20"/>
        </w:rPr>
        <w:t xml:space="preserve">1. Kto ponosi odpowiedzialność za stan bezpieczeństwa i higieny pracy w zakładzie pracy?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a) służba bhp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b) pracodawca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c) firma zewnętrzna obsługująca zakład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d) każdy pracownik w swoim zakresie</w:t>
      </w:r>
    </w:p>
    <w:p>
      <w:pPr>
        <w:spacing w:after="80" w:before="200" w:line="29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0"/>
          <w:szCs w:val="20"/>
        </w:rPr>
        <w:t xml:space="preserve">2. Ile wynosi grzywna za nieprzestrzeganie przepisów lub zasad bhp?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a) od 1000 do 30 000 zł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b) od 2000 do 60 000 zł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c) od 500 do 5000 zł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d) do 10 000 zł</w:t>
      </w:r>
    </w:p>
    <w:p>
      <w:pPr>
        <w:spacing w:after="80" w:before="200" w:line="29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0"/>
          <w:szCs w:val="20"/>
        </w:rPr>
        <w:t xml:space="preserve">3. Od jakiego wymiaru pracy przy monitorze stosuje się przepisy o stanowiskach wyposażonych w monitory ekranowe?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a) od godziny dziennie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b) od czterech godzin dziennie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c) od co najmniej połowy dobowego wymiaru czasu pracy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d) zawsze</w:t>
      </w:r>
    </w:p>
    <w:p>
      <w:pPr>
        <w:spacing w:after="80" w:before="200" w:line="29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0"/>
          <w:szCs w:val="20"/>
        </w:rPr>
        <w:t xml:space="preserve">4. Jaka przerwa przysługuje po każdej godzinie pracy przy obsłudze monitora, jeżeli pracodawca nie stosuje przemienności zadań?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a) 5 minut wliczane do czasu pracy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b) 10 minut niewliczane do czasu pracy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c) 15 minut co dwie godziny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d) przerwa nie przysługuje</w:t>
      </w:r>
    </w:p>
    <w:p>
      <w:pPr>
        <w:spacing w:after="80" w:before="200" w:line="29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0"/>
          <w:szCs w:val="20"/>
        </w:rPr>
        <w:t xml:space="preserve">5. Co pracodawca zapewnia, gdy badanie okulistyczne wykaże taką potrzebę?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a) wyłącznie okulary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b) okulary lub szkła kontaktowe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c) dofinansowanie do 50 procent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d) nic, to koszt pracownika</w:t>
      </w:r>
    </w:p>
    <w:p>
      <w:pPr>
        <w:spacing w:after="80" w:before="200" w:line="29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0"/>
          <w:szCs w:val="20"/>
        </w:rPr>
        <w:t xml:space="preserve">6. Czy pracownik biurowy pracujący zdalnie może być zwolniony ze szkolenia okresowego z uwagi na kategorię ryzyka pracodawcy?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a) tak, na tych samych zasadach co w biurze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b) nie, przepis o zwolnieniu go nie obejmuje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c) tak, jeżeli pracuje zdalnie mniej niż połowę czasu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d) decyduje pracodawca</w:t>
      </w:r>
    </w:p>
    <w:p>
      <w:pPr>
        <w:spacing w:after="80" w:before="200" w:line="29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0"/>
          <w:szCs w:val="20"/>
        </w:rPr>
        <w:t xml:space="preserve">7. W jakim terminie przeprowadza się pierwsze szkolenie okresowe pracownika na stanowisku administracyjno-biurowym?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a) do 6 miesięcy od rozpoczęcia pracy na stanowisku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b) do 12 miesięcy od rozpoczęcia pracy na stanowisku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c) do 3 miesięcy od zatrudnienia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d) nie ma terminu</w:t>
      </w:r>
    </w:p>
    <w:p>
      <w:pPr>
        <w:spacing w:after="80" w:before="200" w:line="29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0"/>
          <w:szCs w:val="20"/>
        </w:rPr>
        <w:t xml:space="preserve">8. Co zrobić najpierw przy porażeniu prądem?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a) rozpocząć uciśnięcia klatki piersiowej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b) odciągnąć poszkodowanego za ubranie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c) odłączyć zasilanie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d) wezwać pomoc i czekać</w:t>
      </w:r>
    </w:p>
    <w:p>
      <w:pPr>
        <w:spacing w:after="80" w:before="200" w:line="29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0"/>
          <w:szCs w:val="20"/>
        </w:rPr>
        <w:t xml:space="preserve">9. Ile uciśnięć klatki piersiowej przypada na dwa oddechy ratownicze u osoby dorosłej?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a) 15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b) 20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c) 30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d) 50</w:t>
      </w:r>
    </w:p>
    <w:p>
      <w:pPr>
        <w:spacing w:after="80" w:before="200" w:line="29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0"/>
          <w:szCs w:val="20"/>
        </w:rPr>
        <w:t xml:space="preserve">10. Kiedy pracownik podlega kontrolnym badaniom lekarskim?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a) po każdej chorobie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b) po niezdolności do pracy trwającej dłużej niż 30 dni z powodu choroby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c) raz w roku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d) po powrocie z urlopu</w:t>
      </w:r>
    </w:p>
    <w:p>
      <w:pPr>
        <w:spacing w:after="80" w:before="200" w:line="29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0"/>
          <w:szCs w:val="20"/>
        </w:rPr>
        <w:t xml:space="preserve">11. Który dokument potwierdza odbycie instruktażu ogólnego i stanowiskowego?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a) zaświadczenie organizatora szkolenia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b) karta szkolenia wstępnego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c) protokół egzaminu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d) wpis do akt osobowych bez odrębnego dokumentu</w:t>
      </w:r>
    </w:p>
    <w:p>
      <w:pPr>
        <w:spacing w:after="80" w:before="200" w:line="29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0"/>
          <w:szCs w:val="20"/>
        </w:rPr>
        <w:t xml:space="preserve">12. Czy pracownik może ponieść konsekwencje za powstrzymanie się od pracy przy bezpośrednim zagrożeniu życia lub zdrowia?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a) tak, jeżeli zagrożenie okazało się pozorne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b) tak, w postaci kary porządkowej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c) nie, przepis wyklucza jakiekolwiek niekorzystne konsekwencje</w:t>
      </w:r>
    </w:p>
    <w:p>
      <w:pPr>
        <w:spacing w:after="50" w:line="280"/>
        <w:ind w:left="34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0"/>
          <w:szCs w:val="20"/>
        </w:rPr>
        <w:t xml:space="preserve">d) zależy od regulaminu pracy</w:t>
      </w:r>
    </w:p>
    <w:p>
      <w:pPr>
        <w:spacing w:after="18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8"/>
          <w:szCs w:val="28"/>
        </w:rPr>
        <w:t xml:space="preserve">KLUCZ ODPOWIEDZI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Strona dla osoby sprawdzającej. Przy wydawaniu testu uczestnikowi tę stronę należy usunąć.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Nr</w:t>
            </w:r>
          </w:p>
        </w:tc>
        <w:tc>
          <w:tcPr>
            <w:tcW w:type="pct" w:w="14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Odpowiedź</w:t>
            </w:r>
          </w:p>
        </w:tc>
        <w:tc>
          <w:tcPr>
            <w:tcW w:type="pct" w:w="78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Uzasadnienie i podstawa</w:t>
            </w:r>
          </w:p>
        </w:tc>
      </w:tr>
      <w:tr>
        <w:tc>
          <w:tcPr>
            <w:tcW w:type="pct" w:w="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1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b</w:t>
            </w:r>
          </w:p>
        </w:tc>
        <w:tc>
          <w:tcPr>
            <w:tcW w:type="pct" w:w="7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Art. 207 § 1 KP. Powierzenie zadań służby bhp specjalistom spoza zakładu nie wpływa na zakres odpowiedzialności pracodawcy.</w:t>
            </w:r>
          </w:p>
        </w:tc>
      </w:tr>
      <w:tr>
        <w:tc>
          <w:tcPr>
            <w:tcW w:type="pct" w:w="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1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b</w:t>
            </w:r>
          </w:p>
        </w:tc>
        <w:tc>
          <w:tcPr>
            <w:tcW w:type="pct" w:w="7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Art. 283 § 1 KP, w brzmieniu obowiązującym od 8 lipca 2026 r.</w:t>
            </w:r>
          </w:p>
        </w:tc>
      </w:tr>
      <w:tr>
        <w:tc>
          <w:tcPr>
            <w:tcW w:type="pct" w:w="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1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c</w:t>
            </w:r>
          </w:p>
        </w:tc>
        <w:tc>
          <w:tcPr>
            <w:tcW w:type="pct" w:w="7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§ 2 pkt 4 rozporządzenia o monitorach ekranowych.</w:t>
            </w:r>
          </w:p>
        </w:tc>
      </w:tr>
      <w:tr>
        <w:tc>
          <w:tcPr>
            <w:tcW w:type="pct" w:w="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1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a</w:t>
            </w:r>
          </w:p>
        </w:tc>
        <w:tc>
          <w:tcPr>
            <w:tcW w:type="pct" w:w="7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§ 7 pkt 2 rozporządzenia o monitorach ekranowych.</w:t>
            </w:r>
          </w:p>
        </w:tc>
      </w:tr>
      <w:tr>
        <w:tc>
          <w:tcPr>
            <w:tcW w:type="pct" w:w="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1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b</w:t>
            </w:r>
          </w:p>
        </w:tc>
        <w:tc>
          <w:tcPr>
            <w:tcW w:type="pct" w:w="7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§ 8 ust. 2 rozporządzenia o monitorach, w brzmieniu od 17 listopada 2023 r.</w:t>
            </w:r>
          </w:p>
        </w:tc>
      </w:tr>
      <w:tr>
        <w:tc>
          <w:tcPr>
            <w:tcW w:type="pct" w:w="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1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b</w:t>
            </w:r>
          </w:p>
        </w:tc>
        <w:tc>
          <w:tcPr>
            <w:tcW w:type="pct" w:w="7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Art. 6731 § 3 KP wyłącza stosowanie art. 2373 § 22 KP do pracownika zdalnego.</w:t>
            </w:r>
          </w:p>
        </w:tc>
      </w:tr>
      <w:tr>
        <w:tc>
          <w:tcPr>
            <w:tcW w:type="pct" w:w="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1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b</w:t>
            </w:r>
          </w:p>
        </w:tc>
        <w:tc>
          <w:tcPr>
            <w:tcW w:type="pct" w:w="7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§ 15 ust. 4 rozporządzenia szkoleniowego.</w:t>
            </w:r>
          </w:p>
        </w:tc>
      </w:tr>
      <w:tr>
        <w:tc>
          <w:tcPr>
            <w:tcW w:type="pct" w:w="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pct" w:w="1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c</w:t>
            </w:r>
          </w:p>
        </w:tc>
        <w:tc>
          <w:tcPr>
            <w:tcW w:type="pct" w:w="7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Dotknięcie poszkodowanego pozostającego pod napięciem naraża ratownika.</w:t>
            </w:r>
          </w:p>
        </w:tc>
      </w:tr>
      <w:tr>
        <w:tc>
          <w:tcPr>
            <w:tcW w:type="pct" w:w="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pct" w:w="1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c</w:t>
            </w:r>
          </w:p>
        </w:tc>
        <w:tc>
          <w:tcPr>
            <w:tcW w:type="pct" w:w="7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Schemat 30 do 2.</w:t>
            </w:r>
          </w:p>
        </w:tc>
      </w:tr>
      <w:tr>
        <w:tc>
          <w:tcPr>
            <w:tcW w:type="pct" w:w="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1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b</w:t>
            </w:r>
          </w:p>
        </w:tc>
        <w:tc>
          <w:tcPr>
            <w:tcW w:type="pct" w:w="7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Art. 229 § 2 KP.</w:t>
            </w:r>
          </w:p>
        </w:tc>
      </w:tr>
      <w:tr>
        <w:tc>
          <w:tcPr>
            <w:tcW w:type="pct" w:w="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11</w:t>
            </w:r>
          </w:p>
        </w:tc>
        <w:tc>
          <w:tcPr>
            <w:tcW w:type="pct" w:w="1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b</w:t>
            </w:r>
          </w:p>
        </w:tc>
        <w:tc>
          <w:tcPr>
            <w:tcW w:type="pct" w:w="78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§ 12 rozporządzenia szkoleniowego. Karta jest przechowywana w aktach osobowych.</w:t>
            </w:r>
          </w:p>
        </w:tc>
      </w:tr>
      <w:tr>
        <w:tc>
          <w:tcPr>
            <w:tcW w:type="pct" w:w="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12</w:t>
            </w:r>
          </w:p>
        </w:tc>
        <w:tc>
          <w:tcPr>
            <w:tcW w:type="pct" w:w="1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c</w:t>
            </w:r>
          </w:p>
        </w:tc>
        <w:tc>
          <w:tcPr>
            <w:tcW w:type="pct" w:w="78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Art. 210 § 21 KP.</w:t>
            </w:r>
          </w:p>
        </w:tc>
      </w:tr>
    </w:tbl>
    <w:p>
      <w:pPr>
        <w:spacing w:after="160"/>
      </w:pPr>
    </w:p>
    <w:sectPr>
      <w:footerReference w:type="default" r:id="rId7"/>
      <w:pgSz w:w="11906" w:h="16838" w:orient="portrait"/>
      <w:pgMar w:top="11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Sprawdzajacy z Kluczem</dc:title>
  <dc:creator>NEW PROJECT Andrzej Brzeziński</dc:creator>
  <dc:description>Pakiet do samokształcenia kierowanego, stanowiska administracyjno-biurowe. Stan prawny w stopce dokumentu.</dc:description>
  <cp:lastModifiedBy>Un-named</cp:lastModifiedBy>
  <cp:revision>1</cp:revision>
  <dcterms:created xsi:type="dcterms:W3CDTF">2026-08-22T20:00:39.329Z</dcterms:created>
  <dcterms:modified xsi:type="dcterms:W3CDTF">2026-08-22T20:00:39.329Z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