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pracodawcy: nazwa, adres, NIP, REGON)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KARTA BADAŃ I POMIARÓW MIKROKLIMATU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pomocnicza, do wypełnienia karty według wzoru urzędowego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Stanowisko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Komórka organizacyjna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595959"/>
          <w:sz w:val="18"/>
          <w:szCs w:val="18"/>
        </w:rPr>
        <w:t xml:space="preserve">Pracodawca wpisuje na bieżąco wyniki badań i pomiarów czynnika szkodliwego do karty badań i pomiarów, której wzór określa załącznik nr 2 do rozporządzenia Ministra Zdrowia z 2 lutego 2011 r. w sprawie badań i pomiarów czynników szkodliwych dla zdrowia w środowisku pracy (Dz. U. z 2025 r. poz. 949).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Dane o badaniu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badania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Laboratorium wykonujące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Numer sprawozdania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Metoda badania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(badania wykonuje się zgodnie z metodami określonymi w Polskich Normach, a w razie ich braku metodami rekomendowanymi i zwalidowanymi)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15 i § 16 rozporządzenia Ministra Zdrowia z 2 lutego 2011 r. w sprawie badań i pomiarów czynników szkodliwych dla zdrowia w środowisku pracy (Dz. U. z 2025 r. poz. 949)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Mikroklimat gorący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2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Wielkość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Wynik</w:t>
            </w:r>
          </w:p>
        </w:tc>
        <w:tc>
          <w:tcPr>
            <w:tcW w:type="pct" w:w="4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Wartość dopuszczalna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Ocena</w:t>
            </w:r>
          </w:p>
        </w:tc>
      </w:tr>
      <w:tr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wskaźnik PMV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powyżej 2,0 oznacza mikroklimat gorący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wskaźnik WBGT [°C]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z tabeli 2 części C załącznika nr 2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klasa tempa metabolizmu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od klasy 0 do klasy 4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aklimatyzacja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wartości różnią się dla osoby niezaaklimatyzowanej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Mikroklimat zimny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2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Wielkość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Wynik</w:t>
            </w:r>
          </w:p>
        </w:tc>
        <w:tc>
          <w:tcPr>
            <w:tcW w:type="pct" w:w="4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Wartość dopuszczalna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Ocena</w:t>
            </w:r>
          </w:p>
        </w:tc>
      </w:tr>
      <w:tr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temperatura powietrza [°C]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poniżej 10 °C jako kryterium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prędkość ruchu powietrza [m/s]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powyżej 0,1 m/s jako kryterium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wilgotność względna [%]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powyżej 5 procent jako kryterium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wskaźnik IREQ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zależny od odzieży i metabolizmu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wskaźnik tWC [°C]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z tabeli 3 części C załącznika nr 2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dopuszczalny czas ekspozycji [min]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z tabeli 3 części C załącznika nr 2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</w:tbl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część C załącznika nr 2 do rozporządzenia Ministra Rodziny, Pracy i Polityki Społecznej z 12 czerwca 2018 r. w sprawie najwyższych dopuszczalnych stężeń i natężeń czynników szkodliwych dla zdrowia w środowisku pracy (Dz. U. poz. 1286 ze zm.)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Poinformowanie pracowników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przekazania wyników pracownikom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Sposób przekazania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Pracodawca niezwłocznie informuje pracowników narażonych o aktualnych wynikach badań i pomiarów, udostępnia im te wyniki i wyjaśnia ich znaczenie. Jest to czynność podejmowana z urzędu, a nie reakcja na wniosek.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17 ust. 2 rozporządzenia Ministra Zdrowia z 2 lutego 2011 r. w sprawie badań i pomiarów czynników szkodliwych dla zdrowia w środowisku pracy (Dz. U. z 2025 r. poz. 949)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5. Wnioski do oceny ryzyka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prowadzącego kartę)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pracodawcy)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40"/>
      <w:jc w:val="center"/>
    </w:pPr>
    <w:r>
      <w:rPr>
        <w:rFonts w:ascii="Calibri" w:cs="Calibri" w:eastAsia="Calibri" w:hAnsi="Calibri"/>
        <w:b/>
        <w:bCs/>
        <w:color w:val="0F172A"/>
        <w:sz w:val="15"/>
        <w:szCs w:val="15"/>
      </w:rPr>
      <w:t xml:space="preserve">Nowy § 30a rozporządzenia o ogólnych przepisach bhp obowiązuje od 11 stycznia 2027 r.</w:t>
    </w:r>
  </w:p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https://newproject360.pl/temperatura-w-pracy-ab/  |  wersja pakietu 1.0, stan prawny na dzień 23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Badan I Pomiarow Mikroklimatu</dc:title>
  <dc:creator>NEW PROJECT Andrzej Brzeziński</dc:creator>
  <dc:description>Wzór z pakietu rejestrów i ewidencji dotyczących obciążenia termicznego w środowisku pracy. Stan prawny w stopce dokumentu.</dc:description>
  <cp:lastModifiedBy>Un-named</cp:lastModifiedBy>
  <cp:revision>1</cp:revision>
  <dcterms:created xsi:type="dcterms:W3CDTF">2026-08-29T17:11:17.076Z</dcterms:created>
  <dcterms:modified xsi:type="dcterms:W3CDTF">2026-08-29T17:11:17.076Z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